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rPr>
      </w:pPr>
      <w:r w:rsidDel="00000000" w:rsidR="00000000" w:rsidRPr="00000000">
        <w:rPr>
          <w:b w:val="1"/>
          <w:rtl w:val="0"/>
        </w:rPr>
        <w:t xml:space="preserve">MUH4930: Vienna – City of Music</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Instructor Information </w:t>
      </w:r>
    </w:p>
    <w:p w:rsidR="00000000" w:rsidDel="00000000" w:rsidP="00000000" w:rsidRDefault="00000000" w:rsidRPr="00000000" w14:paraId="00000004">
      <w:pPr>
        <w:rPr/>
      </w:pPr>
      <w:r w:rsidDel="00000000" w:rsidR="00000000" w:rsidRPr="00000000">
        <w:rPr>
          <w:rtl w:val="0"/>
        </w:rPr>
        <w:t xml:space="preserve">John-Peter S. Ford</w:t>
      </w:r>
    </w:p>
    <w:p w:rsidR="00000000" w:rsidDel="00000000" w:rsidP="00000000" w:rsidRDefault="00000000" w:rsidRPr="00000000" w14:paraId="00000005">
      <w:pPr>
        <w:rPr/>
      </w:pPr>
      <w:r w:rsidDel="00000000" w:rsidR="00000000" w:rsidRPr="00000000">
        <w:rPr>
          <w:rtl w:val="0"/>
        </w:rPr>
        <w:t xml:space="preserve">Email: </w:t>
      </w:r>
      <w:hyperlink r:id="rId7">
        <w:r w:rsidDel="00000000" w:rsidR="00000000" w:rsidRPr="00000000">
          <w:rPr>
            <w:color w:val="467886"/>
            <w:u w:val="single"/>
            <w:rtl w:val="0"/>
          </w:rPr>
          <w:t xml:space="preserve">johnpeterford@ufl.edu</w:t>
        </w:r>
      </w:hyperlink>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Office: Yon 436</w:t>
      </w:r>
    </w:p>
    <w:p w:rsidR="00000000" w:rsidDel="00000000" w:rsidP="00000000" w:rsidRDefault="00000000" w:rsidRPr="00000000" w14:paraId="00000007">
      <w:pPr>
        <w:rPr/>
      </w:pPr>
      <w:r w:rsidDel="00000000" w:rsidR="00000000" w:rsidRPr="00000000">
        <w:rPr>
          <w:rtl w:val="0"/>
        </w:rPr>
        <w:t xml:space="preserve">Office Hours: Monday 3:00-4:00pm</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b w:val="1"/>
          <w:rtl w:val="0"/>
        </w:rPr>
        <w:t xml:space="preserve">Course Description</w:t>
      </w:r>
    </w:p>
    <w:p w:rsidR="00000000" w:rsidDel="00000000" w:rsidP="00000000" w:rsidRDefault="00000000" w:rsidRPr="00000000" w14:paraId="0000000A">
      <w:pPr>
        <w:rPr/>
      </w:pPr>
      <w:r w:rsidDel="00000000" w:rsidR="00000000" w:rsidRPr="00000000">
        <w:rPr>
          <w:rtl w:val="0"/>
        </w:rPr>
        <w:t xml:space="preserve">An introduction to the music and culture of Vienna from Mozart’s arrival to the middle of the Nineteenth Century.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b w:val="1"/>
          <w:rtl w:val="0"/>
        </w:rPr>
        <w:t xml:space="preserve">Required Texts </w:t>
      </w: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t xml:space="preserve">Readings and scores will be provided on Canvas or through Course Reserves. </w:t>
      </w: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pPr>
      <w:r w:rsidDel="00000000" w:rsidR="00000000" w:rsidRPr="00000000">
        <w:rPr>
          <w:b w:val="1"/>
          <w:rtl w:val="0"/>
        </w:rPr>
        <w:t xml:space="preserve">Course Requirements </w:t>
      </w:r>
      <w:r w:rsidDel="00000000" w:rsidR="00000000" w:rsidRPr="00000000">
        <w:rPr>
          <w:rtl w:val="0"/>
        </w:rPr>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Active engagement and thoughtful participation in this course are of utmost importance. This course will be run as a seminar in which everyone contributes generously to daily discussions.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You will not have formal, written exams. Instead, your grade will be based heavily on class participation, the quality of your writing assignments, and contributions to daily discussions. </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You will write essays in response to selected readings or to questions drawn from class discussions.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Additionally, you will keep a “travel journal” of your experiences, focusing particularly on the legacy of the First Viennese School in Vienna today</w:t>
      </w:r>
      <w:r w:rsidDel="00000000" w:rsidR="00000000" w:rsidRPr="00000000">
        <w:rPr>
          <w:rFonts w:ascii="Georgia" w:cs="Georgia" w:eastAsia="Georgia" w:hAnsi="Georgia"/>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4">
      <w:pPr>
        <w:numPr>
          <w:ilvl w:val="0"/>
          <w:numId w:val="1"/>
        </w:numPr>
        <w:ind w:left="720" w:hanging="360"/>
        <w:rPr>
          <w:b w:val="1"/>
        </w:rPr>
      </w:pPr>
      <w:r w:rsidDel="00000000" w:rsidR="00000000" w:rsidRPr="00000000">
        <w:rPr>
          <w:rtl w:val="0"/>
        </w:rPr>
        <w:t xml:space="preserve">Everyone will select a week to present on a topic that aligns with the theme of that week. By the end of the first week of class, you should send in your week for approval.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Georgia" w:cs="Georgia" w:eastAsia="Georgia" w:hAnsi="Georgia"/>
          <w:b w:val="0"/>
          <w:i w:val="0"/>
          <w:smallCaps w:val="0"/>
          <w:strike w:val="0"/>
          <w:color w:val="000000"/>
          <w:sz w:val="24"/>
          <w:szCs w:val="24"/>
          <w:u w:val="none"/>
          <w:shd w:fill="auto" w:val="clear"/>
          <w:vertAlign w:val="baseline"/>
          <w:rtl w:val="0"/>
        </w:rPr>
        <w:t xml:space="preserve">Everyone will have an opportunity to lead a discussion of readings. Please coordinate your lesson in advance with your partner. It is assumed that EVERYONE will have read and will be prepared to discuss all the assignments.</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b w:val="1"/>
          <w:rtl w:val="0"/>
        </w:rPr>
        <w:t xml:space="preserve">Grading </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Participation and Preparation 15% </w:t>
      </w:r>
    </w:p>
    <w:p w:rsidR="00000000" w:rsidDel="00000000" w:rsidP="00000000" w:rsidRDefault="00000000" w:rsidRPr="00000000" w14:paraId="00000019">
      <w:pPr>
        <w:rPr/>
      </w:pPr>
      <w:r w:rsidDel="00000000" w:rsidR="00000000" w:rsidRPr="00000000">
        <w:rPr>
          <w:rtl w:val="0"/>
        </w:rPr>
        <w:t xml:space="preserve">Creative Project 10%</w:t>
      </w:r>
    </w:p>
    <w:p w:rsidR="00000000" w:rsidDel="00000000" w:rsidP="00000000" w:rsidRDefault="00000000" w:rsidRPr="00000000" w14:paraId="0000001A">
      <w:pPr>
        <w:rPr/>
      </w:pPr>
      <w:r w:rsidDel="00000000" w:rsidR="00000000" w:rsidRPr="00000000">
        <w:rPr>
          <w:rtl w:val="0"/>
        </w:rPr>
        <w:t xml:space="preserve">Analysis Project 10%</w:t>
      </w:r>
    </w:p>
    <w:p w:rsidR="00000000" w:rsidDel="00000000" w:rsidP="00000000" w:rsidRDefault="00000000" w:rsidRPr="00000000" w14:paraId="0000001B">
      <w:pPr>
        <w:rPr/>
      </w:pPr>
      <w:r w:rsidDel="00000000" w:rsidR="00000000" w:rsidRPr="00000000">
        <w:rPr>
          <w:rtl w:val="0"/>
        </w:rPr>
        <w:t xml:space="preserve">Presentation 20%</w:t>
      </w:r>
    </w:p>
    <w:p w:rsidR="00000000" w:rsidDel="00000000" w:rsidP="00000000" w:rsidRDefault="00000000" w:rsidRPr="00000000" w14:paraId="0000001C">
      <w:pPr>
        <w:rPr/>
      </w:pPr>
      <w:r w:rsidDel="00000000" w:rsidR="00000000" w:rsidRPr="00000000">
        <w:rPr>
          <w:rtl w:val="0"/>
        </w:rPr>
        <w:t xml:space="preserve">“Travel Journals” 20% </w:t>
      </w:r>
    </w:p>
    <w:p w:rsidR="00000000" w:rsidDel="00000000" w:rsidP="00000000" w:rsidRDefault="00000000" w:rsidRPr="00000000" w14:paraId="0000001D">
      <w:pPr>
        <w:rPr/>
      </w:pPr>
      <w:r w:rsidDel="00000000" w:rsidR="00000000" w:rsidRPr="00000000">
        <w:rPr>
          <w:rtl w:val="0"/>
        </w:rPr>
        <w:t xml:space="preserve">Final Paper 25%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b w:val="1"/>
        </w:rPr>
      </w:pPr>
      <w:r w:rsidDel="00000000" w:rsidR="00000000" w:rsidRPr="00000000">
        <w:rPr>
          <w:b w:val="1"/>
          <w:rtl w:val="0"/>
        </w:rPr>
        <w:t xml:space="preserve">Assignments</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color w:val="2e75b5"/>
          <w:sz w:val="24"/>
          <w:szCs w:val="24"/>
        </w:rPr>
      </w:pPr>
      <w:r w:rsidDel="00000000" w:rsidR="00000000" w:rsidRPr="00000000">
        <w:rPr>
          <w:b w:val="1"/>
          <w:rtl w:val="0"/>
        </w:rPr>
        <w:t xml:space="preserve">Participation and Preparation</w:t>
      </w: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For each class meeting, students will receive a Class Discussion grade. The highest score a student can receive on a given day is a 3.</w:t>
      </w:r>
    </w:p>
    <w:p w:rsidR="00000000" w:rsidDel="00000000" w:rsidP="00000000" w:rsidRDefault="00000000" w:rsidRPr="00000000" w14:paraId="00000023">
      <w:pPr>
        <w:rPr/>
      </w:pPr>
      <w:r w:rsidDel="00000000" w:rsidR="00000000" w:rsidRPr="00000000">
        <w:rPr>
          <w:rtl w:val="0"/>
        </w:rPr>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2430"/>
        <w:gridCol w:w="2520"/>
        <w:gridCol w:w="2505"/>
        <w:tblGridChange w:id="0">
          <w:tblGrid>
            <w:gridCol w:w="1890"/>
            <w:gridCol w:w="2430"/>
            <w:gridCol w:w="2520"/>
            <w:gridCol w:w="2505"/>
          </w:tblGrid>
        </w:tblGridChange>
      </w:tblGrid>
      <w:tr>
        <w:trPr>
          <w:cantSplit w:val="0"/>
          <w:trHeight w:val="359" w:hRule="atLeast"/>
          <w:tblHeader w:val="0"/>
        </w:trPr>
        <w:tc>
          <w:tcPr>
            <w:vAlign w:val="center"/>
          </w:tcPr>
          <w:p w:rsidR="00000000" w:rsidDel="00000000" w:rsidP="00000000" w:rsidRDefault="00000000" w:rsidRPr="00000000" w14:paraId="00000024">
            <w:pPr>
              <w:tabs>
                <w:tab w:val="left" w:leader="none" w:pos="360"/>
                <w:tab w:val="left" w:leader="none" w:pos="1260"/>
                <w:tab w:val="left" w:leader="none" w:pos="2420"/>
                <w:tab w:val="left" w:leader="none" w:pos="3500"/>
              </w:tabs>
              <w:jc w:val="center"/>
              <w:rPr>
                <w:b w:val="1"/>
                <w:sz w:val="22"/>
                <w:szCs w:val="22"/>
              </w:rPr>
            </w:pPr>
            <w:r w:rsidDel="00000000" w:rsidR="00000000" w:rsidRPr="00000000">
              <w:rPr>
                <w:rtl w:val="0"/>
              </w:rPr>
            </w:r>
          </w:p>
        </w:tc>
        <w:tc>
          <w:tcPr>
            <w:vAlign w:val="center"/>
          </w:tcPr>
          <w:p w:rsidR="00000000" w:rsidDel="00000000" w:rsidP="00000000" w:rsidRDefault="00000000" w:rsidRPr="00000000" w14:paraId="00000025">
            <w:pPr>
              <w:tabs>
                <w:tab w:val="left" w:leader="none" w:pos="360"/>
                <w:tab w:val="left" w:leader="none" w:pos="1260"/>
                <w:tab w:val="left" w:leader="none" w:pos="2420"/>
                <w:tab w:val="left" w:leader="none" w:pos="3500"/>
              </w:tabs>
              <w:jc w:val="center"/>
              <w:rPr>
                <w:b w:val="1"/>
                <w:sz w:val="22"/>
                <w:szCs w:val="22"/>
              </w:rPr>
            </w:pPr>
            <w:r w:rsidDel="00000000" w:rsidR="00000000" w:rsidRPr="00000000">
              <w:rPr>
                <w:b w:val="1"/>
                <w:sz w:val="22"/>
                <w:szCs w:val="22"/>
                <w:rtl w:val="0"/>
              </w:rPr>
              <w:t xml:space="preserve">1 – High Quality</w:t>
            </w:r>
          </w:p>
        </w:tc>
        <w:tc>
          <w:tcPr>
            <w:vAlign w:val="center"/>
          </w:tcPr>
          <w:p w:rsidR="00000000" w:rsidDel="00000000" w:rsidP="00000000" w:rsidRDefault="00000000" w:rsidRPr="00000000" w14:paraId="00000026">
            <w:pPr>
              <w:tabs>
                <w:tab w:val="left" w:leader="none" w:pos="360"/>
                <w:tab w:val="left" w:leader="none" w:pos="1260"/>
                <w:tab w:val="left" w:leader="none" w:pos="2420"/>
                <w:tab w:val="left" w:leader="none" w:pos="3500"/>
              </w:tabs>
              <w:jc w:val="center"/>
              <w:rPr>
                <w:b w:val="1"/>
                <w:sz w:val="22"/>
                <w:szCs w:val="22"/>
              </w:rPr>
            </w:pPr>
            <w:r w:rsidDel="00000000" w:rsidR="00000000" w:rsidRPr="00000000">
              <w:rPr>
                <w:b w:val="1"/>
                <w:sz w:val="22"/>
                <w:szCs w:val="22"/>
                <w:rtl w:val="0"/>
              </w:rPr>
              <w:t xml:space="preserve">0.5 - Average</w:t>
            </w:r>
          </w:p>
        </w:tc>
        <w:tc>
          <w:tcPr>
            <w:vAlign w:val="center"/>
          </w:tcPr>
          <w:p w:rsidR="00000000" w:rsidDel="00000000" w:rsidP="00000000" w:rsidRDefault="00000000" w:rsidRPr="00000000" w14:paraId="00000027">
            <w:pPr>
              <w:tabs>
                <w:tab w:val="left" w:leader="none" w:pos="360"/>
                <w:tab w:val="left" w:leader="none" w:pos="1260"/>
                <w:tab w:val="left" w:leader="none" w:pos="2420"/>
                <w:tab w:val="left" w:leader="none" w:pos="3500"/>
              </w:tabs>
              <w:jc w:val="center"/>
              <w:rPr>
                <w:b w:val="1"/>
                <w:sz w:val="22"/>
                <w:szCs w:val="22"/>
              </w:rPr>
            </w:pPr>
            <w:r w:rsidDel="00000000" w:rsidR="00000000" w:rsidRPr="00000000">
              <w:rPr>
                <w:b w:val="1"/>
                <w:sz w:val="22"/>
                <w:szCs w:val="22"/>
                <w:rtl w:val="0"/>
              </w:rPr>
              <w:t xml:space="preserve">0 – Needs Improvement</w:t>
            </w:r>
          </w:p>
        </w:tc>
      </w:tr>
      <w:tr>
        <w:trPr>
          <w:cantSplit w:val="0"/>
          <w:trHeight w:val="2078" w:hRule="atLeast"/>
          <w:tblHeader w:val="0"/>
        </w:trPr>
        <w:tc>
          <w:tcPr>
            <w:vAlign w:val="center"/>
          </w:tcPr>
          <w:p w:rsidR="00000000" w:rsidDel="00000000" w:rsidP="00000000" w:rsidRDefault="00000000" w:rsidRPr="00000000" w14:paraId="00000028">
            <w:pPr>
              <w:tabs>
                <w:tab w:val="left" w:leader="none" w:pos="360"/>
                <w:tab w:val="left" w:leader="none" w:pos="1260"/>
                <w:tab w:val="left" w:leader="none" w:pos="2420"/>
                <w:tab w:val="left" w:leader="none" w:pos="3500"/>
              </w:tabs>
              <w:jc w:val="center"/>
              <w:rPr>
                <w:b w:val="1"/>
                <w:sz w:val="22"/>
                <w:szCs w:val="22"/>
              </w:rPr>
            </w:pPr>
            <w:r w:rsidDel="00000000" w:rsidR="00000000" w:rsidRPr="00000000">
              <w:rPr>
                <w:b w:val="1"/>
                <w:sz w:val="22"/>
                <w:szCs w:val="22"/>
                <w:rtl w:val="0"/>
              </w:rPr>
              <w:t xml:space="preserve">Informed</w:t>
            </w:r>
          </w:p>
        </w:tc>
        <w:tc>
          <w:tcPr>
            <w:vAlign w:val="center"/>
          </w:tcPr>
          <w:p w:rsidR="00000000" w:rsidDel="00000000" w:rsidP="00000000" w:rsidRDefault="00000000" w:rsidRPr="00000000" w14:paraId="00000029">
            <w:pPr>
              <w:tabs>
                <w:tab w:val="left" w:leader="none" w:pos="360"/>
                <w:tab w:val="left" w:leader="none" w:pos="1260"/>
                <w:tab w:val="left" w:leader="none" w:pos="2420"/>
                <w:tab w:val="left" w:leader="none" w:pos="3500"/>
              </w:tabs>
              <w:rPr>
                <w:sz w:val="22"/>
                <w:szCs w:val="22"/>
              </w:rPr>
            </w:pPr>
            <w:r w:rsidDel="00000000" w:rsidR="00000000" w:rsidRPr="00000000">
              <w:rPr>
                <w:sz w:val="22"/>
                <w:szCs w:val="22"/>
                <w:rtl w:val="0"/>
              </w:rPr>
              <w:t xml:space="preserve">Shows evidence of having done the assigned work. Contributions are grounded in assigned readings and listenings.</w:t>
            </w:r>
          </w:p>
        </w:tc>
        <w:tc>
          <w:tcPr>
            <w:vAlign w:val="center"/>
          </w:tcPr>
          <w:p w:rsidR="00000000" w:rsidDel="00000000" w:rsidP="00000000" w:rsidRDefault="00000000" w:rsidRPr="00000000" w14:paraId="0000002A">
            <w:pPr>
              <w:tabs>
                <w:tab w:val="left" w:leader="none" w:pos="360"/>
                <w:tab w:val="left" w:leader="none" w:pos="1260"/>
                <w:tab w:val="left" w:leader="none" w:pos="2420"/>
                <w:tab w:val="left" w:leader="none" w:pos="3500"/>
              </w:tabs>
              <w:rPr>
                <w:sz w:val="22"/>
                <w:szCs w:val="22"/>
              </w:rPr>
            </w:pPr>
            <w:r w:rsidDel="00000000" w:rsidR="00000000" w:rsidRPr="00000000">
              <w:rPr>
                <w:sz w:val="22"/>
                <w:szCs w:val="22"/>
                <w:rtl w:val="0"/>
              </w:rPr>
              <w:t xml:space="preserve">Shows some evidence of having done the assigned work. Contributions are not consistently grounded in assigned readings and listenings.</w:t>
            </w:r>
          </w:p>
        </w:tc>
        <w:tc>
          <w:tcPr>
            <w:vAlign w:val="center"/>
          </w:tcPr>
          <w:p w:rsidR="00000000" w:rsidDel="00000000" w:rsidP="00000000" w:rsidRDefault="00000000" w:rsidRPr="00000000" w14:paraId="0000002B">
            <w:pPr>
              <w:tabs>
                <w:tab w:val="left" w:leader="none" w:pos="360"/>
                <w:tab w:val="left" w:leader="none" w:pos="1260"/>
                <w:tab w:val="left" w:leader="none" w:pos="2420"/>
                <w:tab w:val="left" w:leader="none" w:pos="3500"/>
              </w:tabs>
              <w:rPr>
                <w:sz w:val="22"/>
                <w:szCs w:val="22"/>
              </w:rPr>
            </w:pPr>
            <w:r w:rsidDel="00000000" w:rsidR="00000000" w:rsidRPr="00000000">
              <w:rPr>
                <w:sz w:val="22"/>
                <w:szCs w:val="22"/>
                <w:rtl w:val="0"/>
              </w:rPr>
              <w:t xml:space="preserve">No evidence of having done the assigned work. No contributions or contributions are not grounded in the assigned readings and listenings.</w:t>
            </w:r>
          </w:p>
        </w:tc>
      </w:tr>
      <w:tr>
        <w:trPr>
          <w:cantSplit w:val="0"/>
          <w:trHeight w:val="2330" w:hRule="atLeast"/>
          <w:tblHeader w:val="0"/>
        </w:trPr>
        <w:tc>
          <w:tcPr>
            <w:vAlign w:val="center"/>
          </w:tcPr>
          <w:p w:rsidR="00000000" w:rsidDel="00000000" w:rsidP="00000000" w:rsidRDefault="00000000" w:rsidRPr="00000000" w14:paraId="0000002C">
            <w:pPr>
              <w:tabs>
                <w:tab w:val="left" w:leader="none" w:pos="360"/>
                <w:tab w:val="left" w:leader="none" w:pos="1260"/>
                <w:tab w:val="left" w:leader="none" w:pos="2420"/>
                <w:tab w:val="left" w:leader="none" w:pos="3500"/>
              </w:tabs>
              <w:jc w:val="center"/>
              <w:rPr>
                <w:b w:val="1"/>
                <w:sz w:val="22"/>
                <w:szCs w:val="22"/>
              </w:rPr>
            </w:pPr>
            <w:r w:rsidDel="00000000" w:rsidR="00000000" w:rsidRPr="00000000">
              <w:rPr>
                <w:b w:val="1"/>
                <w:sz w:val="22"/>
                <w:szCs w:val="22"/>
                <w:rtl w:val="0"/>
              </w:rPr>
              <w:t xml:space="preserve">Thoughtful</w:t>
            </w:r>
          </w:p>
        </w:tc>
        <w:tc>
          <w:tcPr>
            <w:vAlign w:val="center"/>
          </w:tcPr>
          <w:p w:rsidR="00000000" w:rsidDel="00000000" w:rsidP="00000000" w:rsidRDefault="00000000" w:rsidRPr="00000000" w14:paraId="0000002D">
            <w:pPr>
              <w:tabs>
                <w:tab w:val="left" w:leader="none" w:pos="360"/>
                <w:tab w:val="left" w:leader="none" w:pos="1260"/>
                <w:tab w:val="left" w:leader="none" w:pos="2420"/>
                <w:tab w:val="left" w:leader="none" w:pos="3500"/>
              </w:tabs>
              <w:rPr>
                <w:sz w:val="22"/>
                <w:szCs w:val="22"/>
              </w:rPr>
            </w:pPr>
            <w:r w:rsidDel="00000000" w:rsidR="00000000" w:rsidRPr="00000000">
              <w:rPr>
                <w:sz w:val="22"/>
                <w:szCs w:val="22"/>
                <w:rtl w:val="0"/>
              </w:rPr>
              <w:t xml:space="preserve">Shows evidence of having understood and considered issues raised. Contributions synthesize connections and formulate critical questions.</w:t>
            </w:r>
          </w:p>
        </w:tc>
        <w:tc>
          <w:tcPr>
            <w:vAlign w:val="center"/>
          </w:tcPr>
          <w:p w:rsidR="00000000" w:rsidDel="00000000" w:rsidP="00000000" w:rsidRDefault="00000000" w:rsidRPr="00000000" w14:paraId="0000002E">
            <w:pPr>
              <w:tabs>
                <w:tab w:val="left" w:leader="none" w:pos="360"/>
                <w:tab w:val="left" w:leader="none" w:pos="1260"/>
                <w:tab w:val="left" w:leader="none" w:pos="2420"/>
                <w:tab w:val="left" w:leader="none" w:pos="3500"/>
              </w:tabs>
              <w:rPr>
                <w:sz w:val="22"/>
                <w:szCs w:val="22"/>
              </w:rPr>
            </w:pPr>
            <w:r w:rsidDel="00000000" w:rsidR="00000000" w:rsidRPr="00000000">
              <w:rPr>
                <w:sz w:val="22"/>
                <w:szCs w:val="22"/>
                <w:rtl w:val="0"/>
              </w:rPr>
              <w:t xml:space="preserve">Shows some evidence of having understood and considered issues raised. Connections may not be synthesized or questions might not be raised.</w:t>
            </w:r>
          </w:p>
        </w:tc>
        <w:tc>
          <w:tcPr>
            <w:vAlign w:val="center"/>
          </w:tcPr>
          <w:p w:rsidR="00000000" w:rsidDel="00000000" w:rsidP="00000000" w:rsidRDefault="00000000" w:rsidRPr="00000000" w14:paraId="0000002F">
            <w:pPr>
              <w:tabs>
                <w:tab w:val="left" w:leader="none" w:pos="360"/>
                <w:tab w:val="left" w:leader="none" w:pos="1260"/>
                <w:tab w:val="left" w:leader="none" w:pos="2420"/>
                <w:tab w:val="left" w:leader="none" w:pos="3500"/>
              </w:tabs>
              <w:rPr>
                <w:sz w:val="22"/>
                <w:szCs w:val="22"/>
              </w:rPr>
            </w:pPr>
            <w:r w:rsidDel="00000000" w:rsidR="00000000" w:rsidRPr="00000000">
              <w:rPr>
                <w:sz w:val="22"/>
                <w:szCs w:val="22"/>
                <w:rtl w:val="0"/>
              </w:rPr>
              <w:t xml:space="preserve">Little to no evidence of having understood and considered issues raised. Synthesis and questioning are largely absent.</w:t>
            </w:r>
          </w:p>
        </w:tc>
      </w:tr>
      <w:tr>
        <w:trPr>
          <w:cantSplit w:val="0"/>
          <w:trHeight w:val="3140" w:hRule="atLeast"/>
          <w:tblHeader w:val="0"/>
        </w:trPr>
        <w:tc>
          <w:tcPr>
            <w:vAlign w:val="center"/>
          </w:tcPr>
          <w:p w:rsidR="00000000" w:rsidDel="00000000" w:rsidP="00000000" w:rsidRDefault="00000000" w:rsidRPr="00000000" w14:paraId="00000030">
            <w:pPr>
              <w:tabs>
                <w:tab w:val="left" w:leader="none" w:pos="360"/>
                <w:tab w:val="left" w:leader="none" w:pos="1260"/>
                <w:tab w:val="left" w:leader="none" w:pos="2420"/>
                <w:tab w:val="left" w:leader="none" w:pos="3500"/>
              </w:tabs>
              <w:jc w:val="center"/>
              <w:rPr>
                <w:b w:val="1"/>
                <w:sz w:val="22"/>
                <w:szCs w:val="22"/>
              </w:rPr>
            </w:pPr>
            <w:r w:rsidDel="00000000" w:rsidR="00000000" w:rsidRPr="00000000">
              <w:rPr>
                <w:b w:val="1"/>
                <w:sz w:val="22"/>
                <w:szCs w:val="22"/>
                <w:rtl w:val="0"/>
              </w:rPr>
              <w:t xml:space="preserve">Considerate</w:t>
            </w:r>
          </w:p>
        </w:tc>
        <w:tc>
          <w:tcPr>
            <w:vAlign w:val="center"/>
          </w:tcPr>
          <w:p w:rsidR="00000000" w:rsidDel="00000000" w:rsidP="00000000" w:rsidRDefault="00000000" w:rsidRPr="00000000" w14:paraId="00000031">
            <w:pPr>
              <w:tabs>
                <w:tab w:val="left" w:leader="none" w:pos="360"/>
                <w:tab w:val="left" w:leader="none" w:pos="1260"/>
                <w:tab w:val="left" w:leader="none" w:pos="2420"/>
                <w:tab w:val="left" w:leader="none" w:pos="3500"/>
              </w:tabs>
              <w:rPr>
                <w:sz w:val="22"/>
                <w:szCs w:val="22"/>
              </w:rPr>
            </w:pPr>
            <w:r w:rsidDel="00000000" w:rsidR="00000000" w:rsidRPr="00000000">
              <w:rPr>
                <w:sz w:val="22"/>
                <w:szCs w:val="22"/>
                <w:rtl w:val="0"/>
              </w:rPr>
              <w:t xml:space="preserve">Takes the perspective of others into account. Contributions situate the participant’s perspective in relation to others and demonstrate the ability to consider multiple points of view simultaneously.</w:t>
            </w:r>
          </w:p>
        </w:tc>
        <w:tc>
          <w:tcPr>
            <w:vAlign w:val="center"/>
          </w:tcPr>
          <w:p w:rsidR="00000000" w:rsidDel="00000000" w:rsidP="00000000" w:rsidRDefault="00000000" w:rsidRPr="00000000" w14:paraId="00000032">
            <w:pPr>
              <w:tabs>
                <w:tab w:val="left" w:leader="none" w:pos="360"/>
                <w:tab w:val="left" w:leader="none" w:pos="1260"/>
                <w:tab w:val="left" w:leader="none" w:pos="2420"/>
                <w:tab w:val="left" w:leader="none" w:pos="3500"/>
              </w:tabs>
              <w:rPr>
                <w:sz w:val="22"/>
                <w:szCs w:val="22"/>
              </w:rPr>
            </w:pPr>
            <w:r w:rsidDel="00000000" w:rsidR="00000000" w:rsidRPr="00000000">
              <w:rPr>
                <w:sz w:val="22"/>
                <w:szCs w:val="22"/>
                <w:rtl w:val="0"/>
              </w:rPr>
              <w:t xml:space="preserve">Takes some perspectives of others into account. Contributions occur but are not consistent in regards to perspective, positioning, or the ability to consider multiple points of view.</w:t>
            </w:r>
          </w:p>
        </w:tc>
        <w:tc>
          <w:tcPr>
            <w:vAlign w:val="center"/>
          </w:tcPr>
          <w:p w:rsidR="00000000" w:rsidDel="00000000" w:rsidP="00000000" w:rsidRDefault="00000000" w:rsidRPr="00000000" w14:paraId="00000033">
            <w:pPr>
              <w:tabs>
                <w:tab w:val="left" w:leader="none" w:pos="360"/>
                <w:tab w:val="left" w:leader="none" w:pos="1260"/>
                <w:tab w:val="left" w:leader="none" w:pos="2420"/>
                <w:tab w:val="left" w:leader="none" w:pos="3500"/>
              </w:tabs>
              <w:rPr>
                <w:sz w:val="22"/>
                <w:szCs w:val="22"/>
              </w:rPr>
            </w:pPr>
            <w:r w:rsidDel="00000000" w:rsidR="00000000" w:rsidRPr="00000000">
              <w:rPr>
                <w:sz w:val="22"/>
                <w:szCs w:val="22"/>
                <w:rtl w:val="0"/>
              </w:rPr>
              <w:t xml:space="preserve">Does not take the perspective of others into account.</w:t>
            </w:r>
          </w:p>
        </w:tc>
      </w:tr>
    </w:tbl>
    <w:p w:rsidR="00000000" w:rsidDel="00000000" w:rsidP="00000000" w:rsidRDefault="00000000" w:rsidRPr="00000000" w14:paraId="00000034">
      <w:pPr>
        <w:tabs>
          <w:tab w:val="left" w:leader="none" w:pos="360"/>
          <w:tab w:val="left" w:leader="none" w:pos="1260"/>
          <w:tab w:val="left" w:leader="none" w:pos="2420"/>
          <w:tab w:val="left" w:leader="none" w:pos="3500"/>
        </w:tabs>
        <w:jc w:val="both"/>
        <w:rPr>
          <w:b w:val="1"/>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Creative Project</w:t>
      </w:r>
    </w:p>
    <w:p w:rsidR="00000000" w:rsidDel="00000000" w:rsidP="00000000" w:rsidRDefault="00000000" w:rsidRPr="00000000" w14:paraId="00000036">
      <w:pPr>
        <w:rPr/>
      </w:pPr>
      <w:r w:rsidDel="00000000" w:rsidR="00000000" w:rsidRPr="00000000">
        <w:rPr>
          <w:rtl w:val="0"/>
        </w:rPr>
        <w:t xml:space="preserve">This can be in conjunction with your final paper. Pick a topic relating to the class and create a travel brochure, podcast, video, or another form of media. If you opt to create short form content, you should make more than one video. You may also expound upon an entry in your travel journal for this assignment!</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sdt>
      <w:sdtPr>
        <w:lock w:val="contentLocked"/>
        <w:tag w:val="goog_rdk_0"/>
      </w:sdtPr>
      <w:sdtContent>
        <w:tbl>
          <w:tblPr>
            <w:tblStyle w:val="Table2"/>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1770"/>
            <w:gridCol w:w="1860"/>
            <w:gridCol w:w="1860"/>
            <w:gridCol w:w="1860"/>
            <w:tblGridChange w:id="0">
              <w:tblGrid>
                <w:gridCol w:w="1950"/>
                <w:gridCol w:w="1770"/>
                <w:gridCol w:w="1860"/>
                <w:gridCol w:w="1860"/>
                <w:gridCol w:w="18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Above Average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Sufficient (3)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Developing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Needs Improvement (1)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Creativity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rPr>
                    <w:sz w:val="22"/>
                    <w:szCs w:val="22"/>
                  </w:rPr>
                </w:pPr>
                <w:r w:rsidDel="00000000" w:rsidR="00000000" w:rsidRPr="00000000">
                  <w:rPr>
                    <w:sz w:val="22"/>
                    <w:szCs w:val="22"/>
                    <w:rtl w:val="0"/>
                  </w:rPr>
                  <w:t xml:space="preserve">Exceptional creativity </w:t>
                </w:r>
              </w:p>
              <w:p w:rsidR="00000000" w:rsidDel="00000000" w:rsidP="00000000" w:rsidRDefault="00000000" w:rsidRPr="00000000" w14:paraId="00000040">
                <w:pPr>
                  <w:widowControl w:val="0"/>
                  <w:rPr>
                    <w:sz w:val="22"/>
                    <w:szCs w:val="22"/>
                  </w:rPr>
                </w:pPr>
                <w:r w:rsidDel="00000000" w:rsidR="00000000" w:rsidRPr="00000000">
                  <w:rPr>
                    <w:sz w:val="22"/>
                    <w:szCs w:val="22"/>
                    <w:rtl w:val="0"/>
                  </w:rPr>
                  <w:t xml:space="preserve">demonstrated by  submitted 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rPr>
                    <w:sz w:val="22"/>
                    <w:szCs w:val="22"/>
                  </w:rPr>
                </w:pPr>
                <w:r w:rsidDel="00000000" w:rsidR="00000000" w:rsidRPr="00000000">
                  <w:rPr>
                    <w:sz w:val="22"/>
                    <w:szCs w:val="22"/>
                    <w:rtl w:val="0"/>
                  </w:rPr>
                  <w:t xml:space="preserve">Significant creativity demonstrated by  submitted 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rPr>
                    <w:sz w:val="22"/>
                    <w:szCs w:val="22"/>
                  </w:rPr>
                </w:pPr>
                <w:r w:rsidDel="00000000" w:rsidR="00000000" w:rsidRPr="00000000">
                  <w:rPr>
                    <w:sz w:val="22"/>
                    <w:szCs w:val="22"/>
                    <w:rtl w:val="0"/>
                  </w:rPr>
                  <w:t xml:space="preserve">Some creativity demonstrated by  submitted materials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rPr>
                    <w:sz w:val="22"/>
                    <w:szCs w:val="22"/>
                  </w:rPr>
                </w:pPr>
                <w:r w:rsidDel="00000000" w:rsidR="00000000" w:rsidRPr="00000000">
                  <w:rPr>
                    <w:sz w:val="22"/>
                    <w:szCs w:val="22"/>
                    <w:rtl w:val="0"/>
                  </w:rPr>
                  <w:t xml:space="preserve">Minimal creativity demonstrated by submitted materials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Content Accuracy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rPr>
                    <w:sz w:val="22"/>
                    <w:szCs w:val="22"/>
                  </w:rPr>
                </w:pPr>
                <w:r w:rsidDel="00000000" w:rsidR="00000000" w:rsidRPr="00000000">
                  <w:rPr>
                    <w:sz w:val="22"/>
                    <w:szCs w:val="22"/>
                    <w:rtl w:val="0"/>
                  </w:rPr>
                  <w:t xml:space="preserve">Accurate content is presented and </w:t>
                </w:r>
              </w:p>
              <w:p w:rsidR="00000000" w:rsidDel="00000000" w:rsidP="00000000" w:rsidRDefault="00000000" w:rsidRPr="00000000" w14:paraId="00000046">
                <w:pPr>
                  <w:widowControl w:val="0"/>
                  <w:rPr>
                    <w:sz w:val="22"/>
                    <w:szCs w:val="22"/>
                  </w:rPr>
                </w:pPr>
                <w:r w:rsidDel="00000000" w:rsidR="00000000" w:rsidRPr="00000000">
                  <w:rPr>
                    <w:sz w:val="22"/>
                    <w:szCs w:val="22"/>
                    <w:rtl w:val="0"/>
                  </w:rPr>
                  <w:t xml:space="preserve">proficiently explained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rPr>
                    <w:sz w:val="22"/>
                    <w:szCs w:val="22"/>
                  </w:rPr>
                </w:pPr>
                <w:r w:rsidDel="00000000" w:rsidR="00000000" w:rsidRPr="00000000">
                  <w:rPr>
                    <w:sz w:val="22"/>
                    <w:szCs w:val="22"/>
                    <w:rtl w:val="0"/>
                  </w:rPr>
                  <w:t xml:space="preserve">Accurate content is presented and satisfactorily  </w:t>
                </w:r>
              </w:p>
              <w:p w:rsidR="00000000" w:rsidDel="00000000" w:rsidP="00000000" w:rsidRDefault="00000000" w:rsidRPr="00000000" w14:paraId="00000048">
                <w:pPr>
                  <w:widowControl w:val="0"/>
                  <w:rPr>
                    <w:sz w:val="22"/>
                    <w:szCs w:val="22"/>
                  </w:rPr>
                </w:pPr>
                <w:r w:rsidDel="00000000" w:rsidR="00000000" w:rsidRPr="00000000">
                  <w:rPr>
                    <w:sz w:val="22"/>
                    <w:szCs w:val="22"/>
                    <w:rtl w:val="0"/>
                  </w:rPr>
                  <w:t xml:space="preserve">explained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Accurate content is presented, but poorly explained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Accurate content is not presented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Depth of Thought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sz w:val="22"/>
                    <w:szCs w:val="22"/>
                  </w:rPr>
                </w:pPr>
                <w:r w:rsidDel="00000000" w:rsidR="00000000" w:rsidRPr="00000000">
                  <w:rPr>
                    <w:sz w:val="22"/>
                    <w:szCs w:val="22"/>
                    <w:rtl w:val="0"/>
                  </w:rPr>
                  <w:t xml:space="preserve">Demonstrates </w:t>
                </w:r>
              </w:p>
              <w:p w:rsidR="00000000" w:rsidDel="00000000" w:rsidP="00000000" w:rsidRDefault="00000000" w:rsidRPr="00000000" w14:paraId="0000004D">
                <w:pPr>
                  <w:widowControl w:val="0"/>
                  <w:rPr>
                    <w:sz w:val="22"/>
                    <w:szCs w:val="22"/>
                  </w:rPr>
                </w:pPr>
                <w:r w:rsidDel="00000000" w:rsidR="00000000" w:rsidRPr="00000000">
                  <w:rPr>
                    <w:sz w:val="22"/>
                    <w:szCs w:val="22"/>
                    <w:rtl w:val="0"/>
                  </w:rPr>
                  <w:t xml:space="preserve">proficient level of thought and/or effort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Demonstrates a considerable level of thought and/or effort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Demonstrates basic depth of thought and/or effort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rPr>
                    <w:sz w:val="22"/>
                    <w:szCs w:val="22"/>
                  </w:rPr>
                </w:pPr>
                <w:r w:rsidDel="00000000" w:rsidR="00000000" w:rsidRPr="00000000">
                  <w:rPr>
                    <w:sz w:val="22"/>
                    <w:szCs w:val="22"/>
                    <w:rtl w:val="0"/>
                  </w:rPr>
                  <w:t xml:space="preserve">Demonstrates minimal depth of thought and/or effort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2"/>
                    <w:szCs w:val="22"/>
                  </w:rPr>
                </w:pPr>
                <w:r w:rsidDel="00000000" w:rsidR="00000000" w:rsidRPr="00000000">
                  <w:rPr>
                    <w:b w:val="1"/>
                    <w:sz w:val="22"/>
                    <w:szCs w:val="22"/>
                    <w:rtl w:val="0"/>
                  </w:rPr>
                  <w:t xml:space="preserve">Design/ Craftsmanship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rPr>
                    <w:sz w:val="22"/>
                    <w:szCs w:val="22"/>
                  </w:rPr>
                </w:pPr>
                <w:r w:rsidDel="00000000" w:rsidR="00000000" w:rsidRPr="00000000">
                  <w:rPr>
                    <w:sz w:val="22"/>
                    <w:szCs w:val="22"/>
                    <w:rtl w:val="0"/>
                  </w:rPr>
                  <w:t xml:space="preserve">Product is exceptional in </w:t>
                </w:r>
              </w:p>
              <w:p w:rsidR="00000000" w:rsidDel="00000000" w:rsidP="00000000" w:rsidRDefault="00000000" w:rsidRPr="00000000" w14:paraId="00000053">
                <w:pPr>
                  <w:widowControl w:val="0"/>
                  <w:rPr>
                    <w:sz w:val="22"/>
                    <w:szCs w:val="22"/>
                  </w:rPr>
                </w:pPr>
                <w:r w:rsidDel="00000000" w:rsidR="00000000" w:rsidRPr="00000000">
                  <w:rPr>
                    <w:sz w:val="22"/>
                    <w:szCs w:val="22"/>
                    <w:rtl w:val="0"/>
                  </w:rPr>
                  <w:t xml:space="preserve">design, layout, and neatness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rPr>
                    <w:sz w:val="22"/>
                    <w:szCs w:val="22"/>
                  </w:rPr>
                </w:pPr>
                <w:r w:rsidDel="00000000" w:rsidR="00000000" w:rsidRPr="00000000">
                  <w:rPr>
                    <w:sz w:val="22"/>
                    <w:szCs w:val="22"/>
                    <w:rtl w:val="0"/>
                  </w:rPr>
                  <w:t xml:space="preserve">Product is satisfactory in </w:t>
                </w:r>
              </w:p>
              <w:p w:rsidR="00000000" w:rsidDel="00000000" w:rsidP="00000000" w:rsidRDefault="00000000" w:rsidRPr="00000000" w14:paraId="00000055">
                <w:pPr>
                  <w:widowControl w:val="0"/>
                  <w:rPr>
                    <w:sz w:val="22"/>
                    <w:szCs w:val="22"/>
                  </w:rPr>
                </w:pPr>
                <w:r w:rsidDel="00000000" w:rsidR="00000000" w:rsidRPr="00000000">
                  <w:rPr>
                    <w:sz w:val="22"/>
                    <w:szCs w:val="22"/>
                    <w:rtl w:val="0"/>
                  </w:rPr>
                  <w:t xml:space="preserve">design, layout, and neatness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Product has basic elements of design, layout, and neatness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sz w:val="22"/>
                    <w:szCs w:val="22"/>
                    <w:rtl w:val="0"/>
                  </w:rPr>
                  <w:t xml:space="preserve">Product has minimal design, layout, and neatness </w:t>
                </w:r>
              </w:p>
            </w:tc>
          </w:tr>
        </w:tbl>
      </w:sdtContent>
    </w:sdt>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b w:val="1"/>
          <w:rtl w:val="0"/>
        </w:rPr>
        <w:t xml:space="preserve">Analysis Project</w:t>
      </w:r>
    </w:p>
    <w:p w:rsidR="00000000" w:rsidDel="00000000" w:rsidP="00000000" w:rsidRDefault="00000000" w:rsidRPr="00000000" w14:paraId="0000005A">
      <w:pPr>
        <w:rPr/>
      </w:pPr>
      <w:r w:rsidDel="00000000" w:rsidR="00000000" w:rsidRPr="00000000">
        <w:rPr>
          <w:rtl w:val="0"/>
        </w:rPr>
        <w:t xml:space="preserve">Choose a piece of music that is either mentioned in class readings or studied in class to analyze. If you would like, this may be folded into your final paper or creative project. Be sure to talk about this option with your instructor if it interests you.</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b w:val="1"/>
        </w:rPr>
      </w:pPr>
      <w:r w:rsidDel="00000000" w:rsidR="00000000" w:rsidRPr="00000000">
        <w:rPr>
          <w:b w:val="1"/>
          <w:rtl w:val="0"/>
        </w:rPr>
        <w:t xml:space="preserve">Presentation</w:t>
      </w:r>
    </w:p>
    <w:p w:rsidR="00000000" w:rsidDel="00000000" w:rsidP="00000000" w:rsidRDefault="00000000" w:rsidRPr="00000000" w14:paraId="0000005D">
      <w:pPr>
        <w:rPr/>
      </w:pPr>
      <w:r w:rsidDel="00000000" w:rsidR="00000000" w:rsidRPr="00000000">
        <w:rPr>
          <w:rtl w:val="0"/>
        </w:rPr>
        <w:t xml:space="preserve">By the end of the first week you should pick a week/ topic that interests you. You will prepare a 10-15 minute presentation on the topic of that week that goes beyond the assigned reading and listening. Thus, outside research will be necessary.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rtl w:val="0"/>
        </w:rPr>
        <w:t xml:space="preserve">Travel Journal</w:t>
      </w:r>
    </w:p>
    <w:p w:rsidR="00000000" w:rsidDel="00000000" w:rsidP="00000000" w:rsidRDefault="00000000" w:rsidRPr="00000000" w14:paraId="00000060">
      <w:pPr>
        <w:rPr/>
      </w:pPr>
      <w:r w:rsidDel="00000000" w:rsidR="00000000" w:rsidRPr="00000000">
        <w:rPr>
          <w:rtl w:val="0"/>
        </w:rPr>
        <w:t xml:space="preserve">Approach your travel journal as if you are visiting places in Vienna. Research a landmark, place, or person which we are discussing in class and make notes as if you are actually visiting the place or the person. How do you get there? What are your impressions? Your writing style does not have to be formal, as in a final paper, but it should still be polished and refined. </w:t>
      </w:r>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pPr>
      <w:r w:rsidDel="00000000" w:rsidR="00000000" w:rsidRPr="00000000">
        <w:rPr>
          <w:b w:val="1"/>
          <w:rtl w:val="0"/>
        </w:rPr>
        <w:t xml:space="preserve">Final Paper</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Your final paper (7–10 pages) should address a topic in music related to the First Viennese School.</w:t>
      </w:r>
    </w:p>
    <w:p w:rsidR="00000000" w:rsidDel="00000000" w:rsidP="00000000" w:rsidRDefault="00000000" w:rsidRPr="00000000" w14:paraId="00000064">
      <w:pPr>
        <w:rPr/>
      </w:pPr>
      <w:r w:rsidDel="00000000" w:rsidR="00000000" w:rsidRPr="00000000">
        <w:rPr>
          <w:rtl w:val="0"/>
        </w:rPr>
      </w:r>
    </w:p>
    <w:tbl>
      <w:tblPr>
        <w:tblStyle w:val="Table3"/>
        <w:tblW w:w="8895.0" w:type="dxa"/>
        <w:jc w:val="left"/>
        <w:tblLayout w:type="fixed"/>
        <w:tblLook w:val="0600"/>
      </w:tblPr>
      <w:tblGrid>
        <w:gridCol w:w="1680"/>
        <w:gridCol w:w="1830"/>
        <w:gridCol w:w="2145"/>
        <w:gridCol w:w="1455"/>
        <w:gridCol w:w="1785"/>
        <w:tblGridChange w:id="0">
          <w:tblGrid>
            <w:gridCol w:w="1680"/>
            <w:gridCol w:w="1830"/>
            <w:gridCol w:w="2145"/>
            <w:gridCol w:w="1455"/>
            <w:gridCol w:w="1785"/>
          </w:tblGrid>
        </w:tblGridChange>
      </w:tblGrid>
      <w:tr>
        <w:trPr>
          <w:cantSplit w:val="0"/>
          <w:trHeight w:val="480" w:hRule="atLeast"/>
          <w:tblHeader w:val="0"/>
        </w:trPr>
        <w:tc>
          <w:tcPr>
            <w:tcBorders>
              <w:top w:color="000000" w:space="0" w:sz="8" w:val="single"/>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5">
            <w:pPr>
              <w:rPr>
                <w:sz w:val="22"/>
                <w:szCs w:val="22"/>
              </w:rPr>
            </w:pPr>
            <w:r w:rsidDel="00000000" w:rsidR="00000000" w:rsidRPr="00000000">
              <w:rPr>
                <w:rtl w:val="0"/>
              </w:rPr>
            </w:r>
          </w:p>
        </w:tc>
        <w:tc>
          <w:tcPr>
            <w:tcBorders>
              <w:top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6">
            <w:pPr>
              <w:rPr>
                <w:b w:val="1"/>
                <w:color w:val="333333"/>
                <w:sz w:val="22"/>
                <w:szCs w:val="22"/>
              </w:rPr>
            </w:pPr>
            <w:r w:rsidDel="00000000" w:rsidR="00000000" w:rsidRPr="00000000">
              <w:rPr>
                <w:b w:val="1"/>
                <w:color w:val="333333"/>
                <w:sz w:val="22"/>
                <w:szCs w:val="22"/>
                <w:rtl w:val="0"/>
              </w:rPr>
              <w:t xml:space="preserve">Above Average (4)</w:t>
            </w:r>
          </w:p>
        </w:tc>
        <w:tc>
          <w:tcPr>
            <w:tcBorders>
              <w:top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7">
            <w:pPr>
              <w:rPr>
                <w:b w:val="1"/>
                <w:color w:val="333333"/>
                <w:sz w:val="22"/>
                <w:szCs w:val="22"/>
              </w:rPr>
            </w:pPr>
            <w:r w:rsidDel="00000000" w:rsidR="00000000" w:rsidRPr="00000000">
              <w:rPr>
                <w:b w:val="1"/>
                <w:color w:val="333333"/>
                <w:sz w:val="22"/>
                <w:szCs w:val="22"/>
                <w:rtl w:val="0"/>
              </w:rPr>
              <w:t xml:space="preserve">Sufficient (3)</w:t>
            </w:r>
          </w:p>
        </w:tc>
        <w:tc>
          <w:tcPr>
            <w:tcBorders>
              <w:top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8">
            <w:pPr>
              <w:rPr>
                <w:b w:val="1"/>
                <w:color w:val="333333"/>
                <w:sz w:val="22"/>
                <w:szCs w:val="22"/>
              </w:rPr>
            </w:pPr>
            <w:r w:rsidDel="00000000" w:rsidR="00000000" w:rsidRPr="00000000">
              <w:rPr>
                <w:b w:val="1"/>
                <w:color w:val="333333"/>
                <w:sz w:val="22"/>
                <w:szCs w:val="22"/>
                <w:rtl w:val="0"/>
              </w:rPr>
              <w:t xml:space="preserve">Developing (2)</w:t>
            </w:r>
          </w:p>
        </w:tc>
        <w:tc>
          <w:tcPr>
            <w:tcBorders>
              <w:top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9">
            <w:pPr>
              <w:rPr>
                <w:b w:val="1"/>
                <w:color w:val="333333"/>
                <w:sz w:val="22"/>
                <w:szCs w:val="22"/>
              </w:rPr>
            </w:pPr>
            <w:r w:rsidDel="00000000" w:rsidR="00000000" w:rsidRPr="00000000">
              <w:rPr>
                <w:b w:val="1"/>
                <w:color w:val="333333"/>
                <w:sz w:val="22"/>
                <w:szCs w:val="22"/>
                <w:rtl w:val="0"/>
              </w:rPr>
              <w:t xml:space="preserve">Needs improvement (1)</w:t>
            </w:r>
          </w:p>
        </w:tc>
      </w:tr>
      <w:tr>
        <w:trPr>
          <w:cantSplit w:val="0"/>
          <w:trHeight w:val="2400"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A">
            <w:pPr>
              <w:rPr>
                <w:b w:val="1"/>
                <w:color w:val="333333"/>
                <w:sz w:val="22"/>
                <w:szCs w:val="22"/>
              </w:rPr>
            </w:pPr>
            <w:r w:rsidDel="00000000" w:rsidR="00000000" w:rsidRPr="00000000">
              <w:rPr>
                <w:b w:val="1"/>
                <w:color w:val="333333"/>
                <w:sz w:val="22"/>
                <w:szCs w:val="22"/>
                <w:rtl w:val="0"/>
              </w:rPr>
              <w:t xml:space="preserve">Clarity – 60% </w:t>
            </w:r>
            <w:r w:rsidDel="00000000" w:rsidR="00000000" w:rsidRPr="00000000">
              <w:rPr>
                <w:color w:val="333333"/>
                <w:sz w:val="22"/>
                <w:szCs w:val="22"/>
                <w:rtl w:val="0"/>
              </w:rPr>
              <w:t xml:space="preserve">(Thesis supported by relevant information and ideas</w:t>
            </w:r>
            <w:r w:rsidDel="00000000" w:rsidR="00000000" w:rsidRPr="00000000">
              <w:rPr>
                <w:b w:val="1"/>
                <w:color w:val="333333"/>
                <w:sz w:val="22"/>
                <w:szCs w:val="22"/>
                <w:rtl w:val="0"/>
              </w:rPr>
              <w:t xml:space="preserv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B">
            <w:pPr>
              <w:rPr>
                <w:color w:val="333333"/>
                <w:sz w:val="22"/>
                <w:szCs w:val="22"/>
              </w:rPr>
            </w:pPr>
            <w:r w:rsidDel="00000000" w:rsidR="00000000" w:rsidRPr="00000000">
              <w:rPr>
                <w:color w:val="333333"/>
                <w:sz w:val="22"/>
                <w:szCs w:val="22"/>
                <w:rtl w:val="0"/>
              </w:rPr>
              <w:t xml:space="preserve">The central purpose of the student work is clear and supporting ideas always are always well-focused. Details are relevant, enrich the work.</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C">
            <w:pPr>
              <w:rPr>
                <w:color w:val="333333"/>
                <w:sz w:val="22"/>
                <w:szCs w:val="22"/>
              </w:rPr>
            </w:pPr>
            <w:r w:rsidDel="00000000" w:rsidR="00000000" w:rsidRPr="00000000">
              <w:rPr>
                <w:color w:val="333333"/>
                <w:sz w:val="22"/>
                <w:szCs w:val="22"/>
                <w:rtl w:val="0"/>
              </w:rPr>
              <w:t xml:space="preserve">The central purpose of the student work is clear and ideas are almost always focused in a way that supports the thesis. Relevant details illustrate the author’s ideas.</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D">
            <w:pPr>
              <w:rPr>
                <w:color w:val="333333"/>
                <w:sz w:val="22"/>
                <w:szCs w:val="22"/>
              </w:rPr>
            </w:pPr>
            <w:r w:rsidDel="00000000" w:rsidR="00000000" w:rsidRPr="00000000">
              <w:rPr>
                <w:color w:val="333333"/>
                <w:sz w:val="22"/>
                <w:szCs w:val="22"/>
                <w:rtl w:val="0"/>
              </w:rPr>
              <w:t xml:space="preserve">The central purpose of the student work is identified. Ideas are mostly focused in a way that supports the thesis.</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E">
            <w:pPr>
              <w:rPr>
                <w:color w:val="333333"/>
                <w:sz w:val="22"/>
                <w:szCs w:val="22"/>
              </w:rPr>
            </w:pPr>
            <w:r w:rsidDel="00000000" w:rsidR="00000000" w:rsidRPr="00000000">
              <w:rPr>
                <w:color w:val="333333"/>
                <w:sz w:val="22"/>
                <w:szCs w:val="22"/>
                <w:rtl w:val="0"/>
              </w:rPr>
              <w:t xml:space="preserve">The purpose of the student work is not well-defined. A number of central ideas do not support the thesis. Thoughts appear disconnected.</w:t>
            </w:r>
          </w:p>
        </w:tc>
      </w:tr>
      <w:tr>
        <w:trPr>
          <w:cantSplit w:val="0"/>
          <w:trHeight w:val="1920"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6F">
            <w:pPr>
              <w:rPr>
                <w:color w:val="333333"/>
                <w:sz w:val="22"/>
                <w:szCs w:val="22"/>
              </w:rPr>
            </w:pPr>
            <w:r w:rsidDel="00000000" w:rsidR="00000000" w:rsidRPr="00000000">
              <w:rPr>
                <w:b w:val="1"/>
                <w:color w:val="333333"/>
                <w:sz w:val="22"/>
                <w:szCs w:val="22"/>
                <w:rtl w:val="0"/>
              </w:rPr>
              <w:t xml:space="preserve">Organization – 20% </w:t>
            </w:r>
            <w:r w:rsidDel="00000000" w:rsidR="00000000" w:rsidRPr="00000000">
              <w:rPr>
                <w:color w:val="333333"/>
                <w:sz w:val="22"/>
                <w:szCs w:val="22"/>
                <w:rtl w:val="0"/>
              </w:rPr>
              <w:t xml:space="preserve">(Sequencing of elements/ ideas)</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70">
            <w:pPr>
              <w:rPr>
                <w:color w:val="333333"/>
                <w:sz w:val="22"/>
                <w:szCs w:val="22"/>
              </w:rPr>
            </w:pPr>
            <w:r w:rsidDel="00000000" w:rsidR="00000000" w:rsidRPr="00000000">
              <w:rPr>
                <w:color w:val="333333"/>
                <w:sz w:val="22"/>
                <w:szCs w:val="22"/>
                <w:rtl w:val="0"/>
              </w:rPr>
              <w:t xml:space="preserve">Information and ideas are presented in a logical sequence which flows naturally and is engaging to the audience.</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71">
            <w:pPr>
              <w:rPr>
                <w:color w:val="333333"/>
                <w:sz w:val="22"/>
                <w:szCs w:val="22"/>
              </w:rPr>
            </w:pPr>
            <w:r w:rsidDel="00000000" w:rsidR="00000000" w:rsidRPr="00000000">
              <w:rPr>
                <w:color w:val="333333"/>
                <w:sz w:val="22"/>
                <w:szCs w:val="22"/>
                <w:rtl w:val="0"/>
              </w:rPr>
              <w:t xml:space="preserve">Information and ideas are presented in a logical sequence which is followed by the reader with little or no difficulty.</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72">
            <w:pPr>
              <w:rPr>
                <w:color w:val="333333"/>
                <w:sz w:val="22"/>
                <w:szCs w:val="22"/>
              </w:rPr>
            </w:pPr>
            <w:r w:rsidDel="00000000" w:rsidR="00000000" w:rsidRPr="00000000">
              <w:rPr>
                <w:color w:val="333333"/>
                <w:sz w:val="22"/>
                <w:szCs w:val="22"/>
                <w:rtl w:val="0"/>
              </w:rPr>
              <w:t xml:space="preserve">Information and ideas are presented in an order that the audience can mostly follow.</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73">
            <w:pPr>
              <w:rPr>
                <w:color w:val="333333"/>
                <w:sz w:val="22"/>
                <w:szCs w:val="22"/>
              </w:rPr>
            </w:pPr>
            <w:r w:rsidDel="00000000" w:rsidR="00000000" w:rsidRPr="00000000">
              <w:rPr>
                <w:color w:val="333333"/>
                <w:sz w:val="22"/>
                <w:szCs w:val="22"/>
                <w:rtl w:val="0"/>
              </w:rPr>
              <w:t xml:space="preserve">Information and ideas are poorly sequenced. The audience has difficulty following the thread of thought.</w:t>
            </w:r>
          </w:p>
        </w:tc>
      </w:tr>
      <w:tr>
        <w:trPr>
          <w:cantSplit w:val="0"/>
          <w:trHeight w:val="1680" w:hRule="atLeast"/>
          <w:tblHeader w:val="0"/>
        </w:trPr>
        <w:tc>
          <w:tcPr>
            <w:tcBorders>
              <w:left w:color="000000" w:space="0" w:sz="8" w:val="single"/>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74">
            <w:pPr>
              <w:rPr>
                <w:color w:val="333333"/>
                <w:sz w:val="22"/>
                <w:szCs w:val="22"/>
              </w:rPr>
            </w:pPr>
            <w:r w:rsidDel="00000000" w:rsidR="00000000" w:rsidRPr="00000000">
              <w:rPr>
                <w:b w:val="1"/>
                <w:color w:val="333333"/>
                <w:sz w:val="22"/>
                <w:szCs w:val="22"/>
                <w:rtl w:val="0"/>
              </w:rPr>
              <w:t xml:space="preserve">Mechanics – 20% </w:t>
            </w:r>
            <w:r w:rsidDel="00000000" w:rsidR="00000000" w:rsidRPr="00000000">
              <w:rPr>
                <w:color w:val="333333"/>
                <w:sz w:val="22"/>
                <w:szCs w:val="22"/>
                <w:rtl w:val="0"/>
              </w:rPr>
              <w:t xml:space="preserve">(Correctness of grammar and spelling)</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75">
            <w:pPr>
              <w:rPr>
                <w:color w:val="333333"/>
                <w:sz w:val="22"/>
                <w:szCs w:val="22"/>
              </w:rPr>
            </w:pPr>
            <w:r w:rsidDel="00000000" w:rsidR="00000000" w:rsidRPr="00000000">
              <w:rPr>
                <w:color w:val="333333"/>
                <w:sz w:val="22"/>
                <w:szCs w:val="22"/>
                <w:rtl w:val="0"/>
              </w:rPr>
              <w:t xml:space="preserve">Minimal to no distracting errors in grammar and spelling.</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76">
            <w:pPr>
              <w:rPr>
                <w:color w:val="333333"/>
                <w:sz w:val="22"/>
                <w:szCs w:val="22"/>
              </w:rPr>
            </w:pPr>
            <w:r w:rsidDel="00000000" w:rsidR="00000000" w:rsidRPr="00000000">
              <w:rPr>
                <w:color w:val="333333"/>
                <w:sz w:val="22"/>
                <w:szCs w:val="22"/>
                <w:rtl w:val="0"/>
              </w:rPr>
              <w:t xml:space="preserve">The readability of the work is only slightly interrupted by spelling and/or grammatical errors.</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77">
            <w:pPr>
              <w:rPr>
                <w:color w:val="333333"/>
                <w:sz w:val="22"/>
                <w:szCs w:val="22"/>
              </w:rPr>
            </w:pPr>
            <w:r w:rsidDel="00000000" w:rsidR="00000000" w:rsidRPr="00000000">
              <w:rPr>
                <w:color w:val="333333"/>
                <w:sz w:val="22"/>
                <w:szCs w:val="22"/>
                <w:rtl w:val="0"/>
              </w:rPr>
              <w:t xml:space="preserve">Grammatical and/or spelling errors distract from the work.</w:t>
            </w:r>
          </w:p>
        </w:tc>
        <w:tc>
          <w:tcPr>
            <w:tcBorders>
              <w:bottom w:color="000000" w:space="0" w:sz="8" w:val="single"/>
              <w:right w:color="000000" w:space="0" w:sz="8" w:val="single"/>
            </w:tcBorders>
            <w:tcMar>
              <w:top w:w="20.0" w:type="dxa"/>
              <w:left w:w="20.0" w:type="dxa"/>
              <w:bottom w:w="20.0" w:type="dxa"/>
              <w:right w:w="20.0" w:type="dxa"/>
            </w:tcMar>
            <w:vAlign w:val="top"/>
          </w:tcPr>
          <w:p w:rsidR="00000000" w:rsidDel="00000000" w:rsidP="00000000" w:rsidRDefault="00000000" w:rsidRPr="00000000" w14:paraId="00000078">
            <w:pPr>
              <w:rPr>
                <w:color w:val="333333"/>
                <w:sz w:val="22"/>
                <w:szCs w:val="22"/>
              </w:rPr>
            </w:pPr>
            <w:r w:rsidDel="00000000" w:rsidR="00000000" w:rsidRPr="00000000">
              <w:rPr>
                <w:color w:val="333333"/>
                <w:sz w:val="22"/>
                <w:szCs w:val="22"/>
                <w:rtl w:val="0"/>
              </w:rPr>
              <w:t xml:space="preserve">The readability of the work is seriously hampered by spelling and/or grammatical errors.</w:t>
            </w:r>
          </w:p>
        </w:tc>
      </w:tr>
    </w:tbl>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b w:val="1"/>
          <w:rtl w:val="0"/>
        </w:rPr>
        <w:t xml:space="preserve">Disability Accommodations </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t xml:space="preserve">Students with disabilities that are requesting accommodations should first register with the Disability Resource Center (352-392-8565, </w:t>
      </w:r>
      <w:hyperlink r:id="rId8">
        <w:r w:rsidDel="00000000" w:rsidR="00000000" w:rsidRPr="00000000">
          <w:rPr>
            <w:color w:val="467886"/>
            <w:u w:val="single"/>
            <w:rtl w:val="0"/>
          </w:rPr>
          <w:t xml:space="preserve">https://disability.ufl.edu</w:t>
        </w:r>
      </w:hyperlink>
      <w:r w:rsidDel="00000000" w:rsidR="00000000" w:rsidRPr="00000000">
        <w:rPr>
          <w:rtl w:val="0"/>
        </w:rPr>
        <w:t xml:space="preserve">) by providing appropriate documentation. Once registered, students will receive an accommodation letter, which must be presented to your instructor when requesting accommodations. Students with disabilities should follow this procedure as early as possible in the semester. </w:t>
      </w:r>
    </w:p>
    <w:p w:rsidR="00000000" w:rsidDel="00000000" w:rsidP="00000000" w:rsidRDefault="00000000" w:rsidRPr="00000000" w14:paraId="0000007C">
      <w:pPr>
        <w:rPr>
          <w:sz w:val="22"/>
          <w:szCs w:val="22"/>
        </w:rPr>
      </w:pPr>
      <w:r w:rsidDel="00000000" w:rsidR="00000000" w:rsidRPr="00000000">
        <w:rPr>
          <w:rtl w:val="0"/>
        </w:rPr>
      </w:r>
    </w:p>
    <w:tbl>
      <w:tblPr>
        <w:tblStyle w:val="Table4"/>
        <w:tblW w:w="702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10"/>
        <w:gridCol w:w="3510"/>
        <w:tblGridChange w:id="0">
          <w:tblGrid>
            <w:gridCol w:w="3510"/>
            <w:gridCol w:w="3510"/>
          </w:tblGrid>
        </w:tblGridChange>
      </w:tblGrid>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D">
            <w:pPr>
              <w:spacing w:line="276" w:lineRule="auto"/>
              <w:rPr>
                <w:rFonts w:ascii="EB Garamond" w:cs="EB Garamond" w:eastAsia="EB Garamond" w:hAnsi="EB Garamond"/>
                <w:b w:val="1"/>
                <w:sz w:val="22"/>
                <w:szCs w:val="22"/>
              </w:rPr>
            </w:pPr>
            <w:r w:rsidDel="00000000" w:rsidR="00000000" w:rsidRPr="00000000">
              <w:rPr>
                <w:rFonts w:ascii="EB Garamond" w:cs="EB Garamond" w:eastAsia="EB Garamond" w:hAnsi="EB Garamond"/>
                <w:b w:val="1"/>
                <w:sz w:val="22"/>
                <w:szCs w:val="22"/>
                <w:rtl w:val="0"/>
              </w:rPr>
              <w:t xml:space="preserve">Health &amp; Wellness Resources</w:t>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E">
            <w:pPr>
              <w:spacing w:line="276" w:lineRule="auto"/>
              <w:rPr>
                <w:rFonts w:ascii="EB Garamond" w:cs="EB Garamond" w:eastAsia="EB Garamond" w:hAnsi="EB Garamond"/>
                <w:b w:val="1"/>
                <w:sz w:val="22"/>
                <w:szCs w:val="22"/>
              </w:rPr>
            </w:pPr>
            <w:r w:rsidDel="00000000" w:rsidR="00000000" w:rsidRPr="00000000">
              <w:rPr>
                <w:rFonts w:ascii="EB Garamond" w:cs="EB Garamond" w:eastAsia="EB Garamond" w:hAnsi="EB Garamond"/>
                <w:b w:val="1"/>
                <w:sz w:val="22"/>
                <w:szCs w:val="22"/>
                <w:rtl w:val="0"/>
              </w:rPr>
              <w:t xml:space="preserve">Academic Resources</w:t>
            </w:r>
          </w:p>
        </w:tc>
      </w:tr>
      <w:tr>
        <w:trPr>
          <w:cantSplit w:val="0"/>
          <w:trHeight w:val="495"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7F">
            <w:pPr>
              <w:spacing w:line="276" w:lineRule="auto"/>
              <w:rPr>
                <w:rFonts w:ascii="EB Garamond" w:cs="EB Garamond" w:eastAsia="EB Garamond" w:hAnsi="EB Garamond"/>
                <w:b w:val="1"/>
                <w:color w:val="0000ff"/>
                <w:sz w:val="22"/>
                <w:szCs w:val="22"/>
                <w:u w:val="single"/>
              </w:rPr>
            </w:pPr>
            <w:r w:rsidDel="00000000" w:rsidR="00000000" w:rsidRPr="00000000">
              <w:rPr>
                <w:rFonts w:ascii="EB Garamond" w:cs="EB Garamond" w:eastAsia="EB Garamond" w:hAnsi="EB Garamond"/>
                <w:b w:val="1"/>
                <w:sz w:val="22"/>
                <w:szCs w:val="22"/>
                <w:rtl w:val="0"/>
              </w:rPr>
              <w:t xml:space="preserve">U Matter, We Care:</w:t>
            </w:r>
            <w:hyperlink r:id="rId9">
              <w:r w:rsidDel="00000000" w:rsidR="00000000" w:rsidRPr="00000000">
                <w:rPr>
                  <w:rFonts w:ascii="EB Garamond" w:cs="EB Garamond" w:eastAsia="EB Garamond" w:hAnsi="EB Garamond"/>
                  <w:b w:val="1"/>
                  <w:sz w:val="22"/>
                  <w:szCs w:val="22"/>
                  <w:rtl w:val="0"/>
                </w:rPr>
                <w:t xml:space="preserve"> </w:t>
              </w:r>
            </w:hyperlink>
            <w:hyperlink r:id="rId10">
              <w:r w:rsidDel="00000000" w:rsidR="00000000" w:rsidRPr="00000000">
                <w:rPr>
                  <w:rFonts w:ascii="EB Garamond" w:cs="EB Garamond" w:eastAsia="EB Garamond" w:hAnsi="EB Garamond"/>
                  <w:b w:val="1"/>
                  <w:color w:val="0000ff"/>
                  <w:sz w:val="22"/>
                  <w:szCs w:val="22"/>
                  <w:u w:val="single"/>
                  <w:rtl w:val="0"/>
                </w:rPr>
                <w:t xml:space="preserve">https://umatter.ufl.edu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0">
            <w:pPr>
              <w:spacing w:after="180" w:line="276" w:lineRule="auto"/>
              <w:rPr>
                <w:rFonts w:ascii="EB Garamond" w:cs="EB Garamond" w:eastAsia="EB Garamond" w:hAnsi="EB Garamond"/>
                <w:b w:val="1"/>
                <w:color w:val="0b4cb4"/>
                <w:sz w:val="22"/>
                <w:szCs w:val="22"/>
                <w:u w:val="single"/>
              </w:rPr>
            </w:pPr>
            <w:r w:rsidDel="00000000" w:rsidR="00000000" w:rsidRPr="00000000">
              <w:rPr>
                <w:rFonts w:ascii="EB Garamond" w:cs="EB Garamond" w:eastAsia="EB Garamond" w:hAnsi="EB Garamond"/>
                <w:b w:val="1"/>
                <w:sz w:val="22"/>
                <w:szCs w:val="22"/>
                <w:rtl w:val="0"/>
              </w:rPr>
              <w:t xml:space="preserve">UF Computing Helpdesk:</w:t>
            </w:r>
            <w:hyperlink r:id="rId11">
              <w:r w:rsidDel="00000000" w:rsidR="00000000" w:rsidRPr="00000000">
                <w:rPr>
                  <w:rFonts w:ascii="EB Garamond" w:cs="EB Garamond" w:eastAsia="EB Garamond" w:hAnsi="EB Garamond"/>
                  <w:b w:val="1"/>
                  <w:sz w:val="22"/>
                  <w:szCs w:val="22"/>
                  <w:rtl w:val="0"/>
                </w:rPr>
                <w:t xml:space="preserve"> </w:t>
              </w:r>
            </w:hyperlink>
            <w:hyperlink r:id="rId12">
              <w:r w:rsidDel="00000000" w:rsidR="00000000" w:rsidRPr="00000000">
                <w:rPr>
                  <w:rFonts w:ascii="EB Garamond" w:cs="EB Garamond" w:eastAsia="EB Garamond" w:hAnsi="EB Garamond"/>
                  <w:b w:val="1"/>
                  <w:color w:val="0b4cb4"/>
                  <w:sz w:val="22"/>
                  <w:szCs w:val="22"/>
                  <w:u w:val="single"/>
                  <w:rtl w:val="0"/>
                </w:rPr>
                <w:t xml:space="preserve">https://helpdesk.ufl.edu</w:t>
              </w:r>
            </w:hyperlink>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1">
            <w:pPr>
              <w:spacing w:line="276" w:lineRule="auto"/>
              <w:rPr>
                <w:rFonts w:ascii="EB Garamond" w:cs="EB Garamond" w:eastAsia="EB Garamond" w:hAnsi="EB Garamond"/>
                <w:b w:val="1"/>
                <w:color w:val="0000ff"/>
                <w:sz w:val="22"/>
                <w:szCs w:val="22"/>
                <w:u w:val="single"/>
              </w:rPr>
            </w:pPr>
            <w:r w:rsidDel="00000000" w:rsidR="00000000" w:rsidRPr="00000000">
              <w:rPr>
                <w:rFonts w:ascii="EB Garamond" w:cs="EB Garamond" w:eastAsia="EB Garamond" w:hAnsi="EB Garamond"/>
                <w:b w:val="1"/>
                <w:sz w:val="22"/>
                <w:szCs w:val="22"/>
                <w:rtl w:val="0"/>
              </w:rPr>
              <w:t xml:space="preserve">Counseling and Wellness Center:</w:t>
            </w:r>
            <w:hyperlink r:id="rId13">
              <w:r w:rsidDel="00000000" w:rsidR="00000000" w:rsidRPr="00000000">
                <w:rPr>
                  <w:rFonts w:ascii="EB Garamond" w:cs="EB Garamond" w:eastAsia="EB Garamond" w:hAnsi="EB Garamond"/>
                  <w:b w:val="1"/>
                  <w:sz w:val="22"/>
                  <w:szCs w:val="22"/>
                  <w:rtl w:val="0"/>
                </w:rPr>
                <w:t xml:space="preserve"> </w:t>
              </w:r>
            </w:hyperlink>
            <w:hyperlink r:id="rId14">
              <w:r w:rsidDel="00000000" w:rsidR="00000000" w:rsidRPr="00000000">
                <w:rPr>
                  <w:rFonts w:ascii="EB Garamond" w:cs="EB Garamond" w:eastAsia="EB Garamond" w:hAnsi="EB Garamond"/>
                  <w:b w:val="1"/>
                  <w:color w:val="0000ff"/>
                  <w:sz w:val="22"/>
                  <w:szCs w:val="22"/>
                  <w:u w:val="single"/>
                  <w:rtl w:val="0"/>
                </w:rPr>
                <w:t xml:space="preserve">https://counseling.ufl.edu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2">
            <w:pPr>
              <w:spacing w:line="276" w:lineRule="auto"/>
              <w:rPr>
                <w:rFonts w:ascii="EB Garamond" w:cs="EB Garamond" w:eastAsia="EB Garamond" w:hAnsi="EB Garamond"/>
                <w:b w:val="1"/>
                <w:color w:val="0000ff"/>
                <w:sz w:val="22"/>
                <w:szCs w:val="22"/>
                <w:u w:val="single"/>
              </w:rPr>
            </w:pPr>
            <w:r w:rsidDel="00000000" w:rsidR="00000000" w:rsidRPr="00000000">
              <w:rPr>
                <w:rFonts w:ascii="EB Garamond" w:cs="EB Garamond" w:eastAsia="EB Garamond" w:hAnsi="EB Garamond"/>
                <w:b w:val="1"/>
                <w:sz w:val="22"/>
                <w:szCs w:val="22"/>
                <w:rtl w:val="0"/>
              </w:rPr>
              <w:t xml:space="preserve">UF Libraries:</w:t>
            </w:r>
            <w:hyperlink r:id="rId15">
              <w:r w:rsidDel="00000000" w:rsidR="00000000" w:rsidRPr="00000000">
                <w:rPr>
                  <w:rFonts w:ascii="EB Garamond" w:cs="EB Garamond" w:eastAsia="EB Garamond" w:hAnsi="EB Garamond"/>
                  <w:b w:val="1"/>
                  <w:sz w:val="22"/>
                  <w:szCs w:val="22"/>
                  <w:rtl w:val="0"/>
                </w:rPr>
                <w:t xml:space="preserve"> </w:t>
              </w:r>
            </w:hyperlink>
            <w:hyperlink r:id="rId16">
              <w:r w:rsidDel="00000000" w:rsidR="00000000" w:rsidRPr="00000000">
                <w:rPr>
                  <w:rFonts w:ascii="EB Garamond" w:cs="EB Garamond" w:eastAsia="EB Garamond" w:hAnsi="EB Garamond"/>
                  <w:b w:val="1"/>
                  <w:color w:val="0000ff"/>
                  <w:sz w:val="22"/>
                  <w:szCs w:val="22"/>
                  <w:u w:val="single"/>
                  <w:rtl w:val="0"/>
                </w:rPr>
                <w:t xml:space="preserve">https://uflib.ufl.edu</w:t>
              </w:r>
            </w:hyperlink>
            <w:r w:rsidDel="00000000" w:rsidR="00000000" w:rsidRPr="00000000">
              <w:rPr>
                <w:rtl w:val="0"/>
              </w:rPr>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3">
            <w:pPr>
              <w:spacing w:line="276" w:lineRule="auto"/>
              <w:rPr>
                <w:rFonts w:ascii="EB Garamond" w:cs="EB Garamond" w:eastAsia="EB Garamond" w:hAnsi="EB Garamond"/>
                <w:b w:val="1"/>
                <w:color w:val="0000ff"/>
                <w:sz w:val="22"/>
                <w:szCs w:val="22"/>
                <w:u w:val="single"/>
              </w:rPr>
            </w:pPr>
            <w:r w:rsidDel="00000000" w:rsidR="00000000" w:rsidRPr="00000000">
              <w:rPr>
                <w:rFonts w:ascii="EB Garamond" w:cs="EB Garamond" w:eastAsia="EB Garamond" w:hAnsi="EB Garamond"/>
                <w:b w:val="1"/>
                <w:sz w:val="22"/>
                <w:szCs w:val="22"/>
                <w:rtl w:val="0"/>
              </w:rPr>
              <w:t xml:space="preserve">Student Health Care Center:</w:t>
            </w:r>
            <w:hyperlink r:id="rId17">
              <w:r w:rsidDel="00000000" w:rsidR="00000000" w:rsidRPr="00000000">
                <w:rPr>
                  <w:rFonts w:ascii="EB Garamond" w:cs="EB Garamond" w:eastAsia="EB Garamond" w:hAnsi="EB Garamond"/>
                  <w:b w:val="1"/>
                  <w:sz w:val="22"/>
                  <w:szCs w:val="22"/>
                  <w:rtl w:val="0"/>
                </w:rPr>
                <w:t xml:space="preserve"> </w:t>
              </w:r>
            </w:hyperlink>
            <w:hyperlink r:id="rId18">
              <w:r w:rsidDel="00000000" w:rsidR="00000000" w:rsidRPr="00000000">
                <w:rPr>
                  <w:rFonts w:ascii="EB Garamond" w:cs="EB Garamond" w:eastAsia="EB Garamond" w:hAnsi="EB Garamond"/>
                  <w:b w:val="1"/>
                  <w:color w:val="0000ff"/>
                  <w:sz w:val="22"/>
                  <w:szCs w:val="22"/>
                  <w:u w:val="single"/>
                  <w:rtl w:val="0"/>
                </w:rPr>
                <w:t xml:space="preserve">https://shcc.ufl.edu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4">
            <w:pPr>
              <w:spacing w:line="276" w:lineRule="auto"/>
              <w:rPr>
                <w:rFonts w:ascii="EB Garamond" w:cs="EB Garamond" w:eastAsia="EB Garamond" w:hAnsi="EB Garamond"/>
                <w:b w:val="1"/>
                <w:sz w:val="22"/>
                <w:szCs w:val="22"/>
              </w:rPr>
            </w:pPr>
            <w:r w:rsidDel="00000000" w:rsidR="00000000" w:rsidRPr="00000000">
              <w:rPr>
                <w:rFonts w:ascii="EB Garamond" w:cs="EB Garamond" w:eastAsia="EB Garamond" w:hAnsi="EB Garamond"/>
                <w:b w:val="1"/>
                <w:sz w:val="22"/>
                <w:szCs w:val="22"/>
                <w:rtl w:val="0"/>
              </w:rPr>
              <w:t xml:space="preserve">UF AFA Library Music Research Guide: </w:t>
            </w:r>
            <w:hyperlink r:id="rId19">
              <w:r w:rsidDel="00000000" w:rsidR="00000000" w:rsidRPr="00000000">
                <w:rPr>
                  <w:rFonts w:ascii="EB Garamond" w:cs="EB Garamond" w:eastAsia="EB Garamond" w:hAnsi="EB Garamond"/>
                  <w:b w:val="1"/>
                  <w:color w:val="1155cc"/>
                  <w:sz w:val="22"/>
                  <w:szCs w:val="22"/>
                  <w:u w:val="single"/>
                  <w:rtl w:val="0"/>
                </w:rPr>
                <w:t xml:space="preserve">https://guides.uflib.ufl.edu/music</w:t>
              </w:r>
            </w:hyperlink>
            <w:r w:rsidDel="00000000" w:rsidR="00000000" w:rsidRPr="00000000">
              <w:rPr>
                <w:rFonts w:ascii="EB Garamond" w:cs="EB Garamond" w:eastAsia="EB Garamond" w:hAnsi="EB Garamond"/>
                <w:b w:val="1"/>
                <w:sz w:val="22"/>
                <w:szCs w:val="22"/>
                <w:rtl w:val="0"/>
              </w:rPr>
              <w:t xml:space="preserve"> </w:t>
            </w:r>
          </w:p>
        </w:tc>
      </w:tr>
      <w:tr>
        <w:trPr>
          <w:cantSplit w:val="0"/>
          <w:trHeight w:val="510" w:hRule="atLeast"/>
          <w:tblHeader w:val="0"/>
        </w:trPr>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5">
            <w:pPr>
              <w:spacing w:line="276" w:lineRule="auto"/>
              <w:rPr>
                <w:rFonts w:ascii="EB Garamond" w:cs="EB Garamond" w:eastAsia="EB Garamond" w:hAnsi="EB Garamond"/>
                <w:b w:val="1"/>
                <w:color w:val="0000ff"/>
                <w:sz w:val="22"/>
                <w:szCs w:val="22"/>
                <w:u w:val="single"/>
              </w:rPr>
            </w:pPr>
            <w:r w:rsidDel="00000000" w:rsidR="00000000" w:rsidRPr="00000000">
              <w:rPr>
                <w:rFonts w:ascii="EB Garamond" w:cs="EB Garamond" w:eastAsia="EB Garamond" w:hAnsi="EB Garamond"/>
                <w:b w:val="1"/>
                <w:sz w:val="22"/>
                <w:szCs w:val="22"/>
                <w:rtl w:val="0"/>
              </w:rPr>
              <w:t xml:space="preserve">University Police Department:</w:t>
            </w:r>
            <w:hyperlink r:id="rId20">
              <w:r w:rsidDel="00000000" w:rsidR="00000000" w:rsidRPr="00000000">
                <w:rPr>
                  <w:rFonts w:ascii="EB Garamond" w:cs="EB Garamond" w:eastAsia="EB Garamond" w:hAnsi="EB Garamond"/>
                  <w:b w:val="1"/>
                  <w:sz w:val="22"/>
                  <w:szCs w:val="22"/>
                  <w:rtl w:val="0"/>
                </w:rPr>
                <w:t xml:space="preserve"> </w:t>
              </w:r>
            </w:hyperlink>
            <w:hyperlink r:id="rId21">
              <w:r w:rsidDel="00000000" w:rsidR="00000000" w:rsidRPr="00000000">
                <w:rPr>
                  <w:rFonts w:ascii="EB Garamond" w:cs="EB Garamond" w:eastAsia="EB Garamond" w:hAnsi="EB Garamond"/>
                  <w:b w:val="1"/>
                  <w:color w:val="0000ff"/>
                  <w:sz w:val="22"/>
                  <w:szCs w:val="22"/>
                  <w:u w:val="single"/>
                  <w:rtl w:val="0"/>
                </w:rPr>
                <w:t xml:space="preserve">https://police.ufl.edu</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60.0" w:type="dxa"/>
              <w:left w:w="60.0" w:type="dxa"/>
              <w:bottom w:w="60.0" w:type="dxa"/>
              <w:right w:w="60.0" w:type="dxa"/>
            </w:tcMar>
          </w:tcPr>
          <w:p w:rsidR="00000000" w:rsidDel="00000000" w:rsidP="00000000" w:rsidRDefault="00000000" w:rsidRPr="00000000" w14:paraId="00000086">
            <w:pPr>
              <w:spacing w:line="276" w:lineRule="auto"/>
              <w:rPr>
                <w:rFonts w:ascii="EB Garamond" w:cs="EB Garamond" w:eastAsia="EB Garamond" w:hAnsi="EB Garamond"/>
                <w:b w:val="1"/>
                <w:sz w:val="22"/>
                <w:szCs w:val="22"/>
              </w:rPr>
            </w:pPr>
            <w:r w:rsidDel="00000000" w:rsidR="00000000" w:rsidRPr="00000000">
              <w:rPr>
                <w:rFonts w:ascii="EB Garamond" w:cs="EB Garamond" w:eastAsia="EB Garamond" w:hAnsi="EB Garamond"/>
                <w:b w:val="1"/>
                <w:sz w:val="22"/>
                <w:szCs w:val="22"/>
                <w:rtl w:val="0"/>
              </w:rPr>
              <w:t xml:space="preserve">Writing Studio:</w:t>
            </w:r>
            <w:hyperlink r:id="rId22">
              <w:r w:rsidDel="00000000" w:rsidR="00000000" w:rsidRPr="00000000">
                <w:rPr>
                  <w:rFonts w:ascii="EB Garamond" w:cs="EB Garamond" w:eastAsia="EB Garamond" w:hAnsi="EB Garamond"/>
                  <w:b w:val="1"/>
                  <w:sz w:val="22"/>
                  <w:szCs w:val="22"/>
                  <w:rtl w:val="0"/>
                </w:rPr>
                <w:t xml:space="preserve"> </w:t>
              </w:r>
            </w:hyperlink>
            <w:hyperlink r:id="rId23">
              <w:r w:rsidDel="00000000" w:rsidR="00000000" w:rsidRPr="00000000">
                <w:rPr>
                  <w:rFonts w:ascii="EB Garamond" w:cs="EB Garamond" w:eastAsia="EB Garamond" w:hAnsi="EB Garamond"/>
                  <w:b w:val="1"/>
                  <w:color w:val="0000ff"/>
                  <w:sz w:val="22"/>
                  <w:szCs w:val="22"/>
                  <w:u w:val="single"/>
                  <w:rtl w:val="0"/>
                </w:rPr>
                <w:t xml:space="preserve">https://writing.ufl.edu/writing-studio/</w:t>
              </w:r>
            </w:hyperlink>
            <w:r w:rsidDel="00000000" w:rsidR="00000000" w:rsidRPr="00000000">
              <w:rPr>
                <w:rFonts w:ascii="EB Garamond" w:cs="EB Garamond" w:eastAsia="EB Garamond" w:hAnsi="EB Garamond"/>
                <w:b w:val="1"/>
                <w:sz w:val="22"/>
                <w:szCs w:val="22"/>
                <w:rtl w:val="0"/>
              </w:rPr>
              <w:t xml:space="preserve"> </w:t>
            </w:r>
          </w:p>
        </w:tc>
      </w:tr>
    </w:tbl>
    <w:p w:rsidR="00000000" w:rsidDel="00000000" w:rsidP="00000000" w:rsidRDefault="00000000" w:rsidRPr="00000000" w14:paraId="00000087">
      <w:pPr>
        <w:spacing w:line="276" w:lineRule="auto"/>
        <w:rPr/>
      </w:pPr>
      <w:r w:rsidDel="00000000" w:rsidR="00000000" w:rsidRPr="00000000">
        <w:rPr>
          <w:rtl w:val="0"/>
        </w:rPr>
      </w:r>
    </w:p>
    <w:p w:rsidR="00000000" w:rsidDel="00000000" w:rsidP="00000000" w:rsidRDefault="00000000" w:rsidRPr="00000000" w14:paraId="00000088">
      <w:pPr>
        <w:rPr>
          <w:b w:val="1"/>
        </w:rPr>
      </w:pPr>
      <w:r w:rsidDel="00000000" w:rsidR="00000000" w:rsidRPr="00000000">
        <w:rPr>
          <w:b w:val="1"/>
          <w:rtl w:val="0"/>
        </w:rPr>
        <w:t xml:space="preserve">Academic Conduct </w:t>
      </w:r>
    </w:p>
    <w:p w:rsidR="00000000" w:rsidDel="00000000" w:rsidP="00000000" w:rsidRDefault="00000000" w:rsidRPr="00000000" w14:paraId="00000089">
      <w:pPr>
        <w:rPr/>
      </w:pPr>
      <w:r w:rsidDel="00000000" w:rsidR="00000000" w:rsidRPr="00000000">
        <w:rPr>
          <w:rtl w:val="0"/>
        </w:rPr>
        <w:t xml:space="preserve">UF students are bound by The Honor Pledge, which states, “We, the members of the University of Florida community, pledge to hold ourselves and our peers to the highest standards of honor and integrity. On all work submitted for credit by students at the University of Florida, the following pledge is either required or implied: ‘On my honor, I have neither given nor received unauthorized aid in doing this assignment.’” The Honor Code (https://sccr.dso.ufl.edu/policies/student-honor- code-student-conduct-code/) specifies a number of behaviors that are in violation of this code and the possible sanctions. Furthermore, you are obligated to report any condition that facilitates academic misconduct to appropriate personnel. If you have any questions or concerns, please consult with the instructor.</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Using someone else’s ideas in a written paper without providing proper recognition of the source (plagiarizing) are serious matters; length of the paper does not matter. Anyone caught plagiarizing is subject to an automatic E and further disciplinary action. All violations of academic honesty will be referred to the Dean of Students Office for disciplinary action without exception. Instances of plagiarism will be treated on an individual basis but can result in a failing grade for the course. </w:t>
      </w:r>
    </w:p>
    <w:p w:rsidR="00000000" w:rsidDel="00000000" w:rsidP="00000000" w:rsidRDefault="00000000" w:rsidRPr="00000000" w14:paraId="0000008C">
      <w:pPr>
        <w:rPr>
          <w:b w:val="1"/>
        </w:rPr>
      </w:pPr>
      <w:r w:rsidDel="00000000" w:rsidR="00000000" w:rsidRPr="00000000">
        <w:rPr>
          <w:rtl w:val="0"/>
        </w:rPr>
      </w:r>
    </w:p>
    <w:p w:rsidR="00000000" w:rsidDel="00000000" w:rsidP="00000000" w:rsidRDefault="00000000" w:rsidRPr="00000000" w14:paraId="0000008D">
      <w:pPr>
        <w:rPr>
          <w:b w:val="1"/>
          <w:sz w:val="22"/>
          <w:szCs w:val="22"/>
        </w:rPr>
      </w:pPr>
      <w:r w:rsidDel="00000000" w:rsidR="00000000" w:rsidRPr="00000000">
        <w:rPr>
          <w:b w:val="1"/>
          <w:sz w:val="22"/>
          <w:szCs w:val="22"/>
          <w:rtl w:val="0"/>
        </w:rPr>
        <w:t xml:space="preserve">Course Outline </w:t>
      </w:r>
    </w:p>
    <w:p w:rsidR="00000000" w:rsidDel="00000000" w:rsidP="00000000" w:rsidRDefault="00000000" w:rsidRPr="00000000" w14:paraId="0000008E">
      <w:pPr>
        <w:rPr>
          <w:b w:val="1"/>
          <w:sz w:val="22"/>
          <w:szCs w:val="22"/>
        </w:rPr>
      </w:pPr>
      <w:r w:rsidDel="00000000" w:rsidR="00000000" w:rsidRPr="00000000">
        <w:rPr>
          <w:rtl w:val="0"/>
        </w:rPr>
      </w:r>
    </w:p>
    <w:tbl>
      <w:tblPr>
        <w:tblStyle w:val="Table5"/>
        <w:tblW w:w="9223.0" w:type="dxa"/>
        <w:jc w:val="left"/>
        <w:tblInd w:w="1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842"/>
        <w:gridCol w:w="1925"/>
        <w:gridCol w:w="2115"/>
        <w:gridCol w:w="1796"/>
        <w:tblGridChange w:id="0">
          <w:tblGrid>
            <w:gridCol w:w="1545"/>
            <w:gridCol w:w="1842"/>
            <w:gridCol w:w="1925"/>
            <w:gridCol w:w="2115"/>
            <w:gridCol w:w="1796"/>
          </w:tblGrid>
        </w:tblGridChange>
      </w:tblGrid>
      <w:tr>
        <w:trPr>
          <w:cantSplit w:val="0"/>
          <w:tblHeader w:val="0"/>
        </w:trPr>
        <w:tc>
          <w:tcPr/>
          <w:p w:rsidR="00000000" w:rsidDel="00000000" w:rsidP="00000000" w:rsidRDefault="00000000" w:rsidRPr="00000000" w14:paraId="0000008F">
            <w:pPr>
              <w:rPr>
                <w:b w:val="1"/>
                <w:sz w:val="22"/>
                <w:szCs w:val="22"/>
              </w:rPr>
            </w:pPr>
            <w:r w:rsidDel="00000000" w:rsidR="00000000" w:rsidRPr="00000000">
              <w:rPr>
                <w:b w:val="1"/>
                <w:sz w:val="22"/>
                <w:szCs w:val="22"/>
                <w:rtl w:val="0"/>
              </w:rPr>
              <w:t xml:space="preserve">Week</w:t>
            </w:r>
          </w:p>
        </w:tc>
        <w:tc>
          <w:tcPr/>
          <w:p w:rsidR="00000000" w:rsidDel="00000000" w:rsidP="00000000" w:rsidRDefault="00000000" w:rsidRPr="00000000" w14:paraId="00000090">
            <w:pPr>
              <w:rPr>
                <w:b w:val="1"/>
                <w:sz w:val="22"/>
                <w:szCs w:val="22"/>
              </w:rPr>
            </w:pPr>
            <w:r w:rsidDel="00000000" w:rsidR="00000000" w:rsidRPr="00000000">
              <w:rPr>
                <w:b w:val="1"/>
                <w:sz w:val="22"/>
                <w:szCs w:val="22"/>
                <w:rtl w:val="0"/>
              </w:rPr>
              <w:t xml:space="preserve">Theme</w:t>
            </w:r>
          </w:p>
        </w:tc>
        <w:tc>
          <w:tcPr/>
          <w:p w:rsidR="00000000" w:rsidDel="00000000" w:rsidP="00000000" w:rsidRDefault="00000000" w:rsidRPr="00000000" w14:paraId="00000091">
            <w:pPr>
              <w:rPr>
                <w:b w:val="1"/>
                <w:sz w:val="22"/>
                <w:szCs w:val="22"/>
              </w:rPr>
            </w:pPr>
            <w:r w:rsidDel="00000000" w:rsidR="00000000" w:rsidRPr="00000000">
              <w:rPr>
                <w:b w:val="1"/>
                <w:sz w:val="22"/>
                <w:szCs w:val="22"/>
                <w:rtl w:val="0"/>
              </w:rPr>
              <w:t xml:space="preserve">Topics/ Locations</w:t>
            </w:r>
          </w:p>
        </w:tc>
        <w:tc>
          <w:tcPr/>
          <w:p w:rsidR="00000000" w:rsidDel="00000000" w:rsidP="00000000" w:rsidRDefault="00000000" w:rsidRPr="00000000" w14:paraId="00000092">
            <w:pPr>
              <w:rPr>
                <w:b w:val="1"/>
                <w:sz w:val="22"/>
                <w:szCs w:val="22"/>
              </w:rPr>
            </w:pPr>
            <w:r w:rsidDel="00000000" w:rsidR="00000000" w:rsidRPr="00000000">
              <w:rPr>
                <w:b w:val="1"/>
                <w:sz w:val="22"/>
                <w:szCs w:val="22"/>
                <w:rtl w:val="0"/>
              </w:rPr>
              <w:t xml:space="preserve">Readings to be Selected From</w:t>
            </w:r>
          </w:p>
        </w:tc>
        <w:tc>
          <w:tcPr/>
          <w:p w:rsidR="00000000" w:rsidDel="00000000" w:rsidP="00000000" w:rsidRDefault="00000000" w:rsidRPr="00000000" w14:paraId="00000093">
            <w:pPr>
              <w:rPr>
                <w:b w:val="1"/>
                <w:sz w:val="22"/>
                <w:szCs w:val="22"/>
              </w:rPr>
            </w:pPr>
            <w:r w:rsidDel="00000000" w:rsidR="00000000" w:rsidRPr="00000000">
              <w:rPr>
                <w:b w:val="1"/>
                <w:sz w:val="22"/>
                <w:szCs w:val="22"/>
                <w:rtl w:val="0"/>
              </w:rPr>
              <w:t xml:space="preserve">Music</w:t>
            </w:r>
          </w:p>
        </w:tc>
      </w:tr>
      <w:tr>
        <w:trPr>
          <w:cantSplit w:val="0"/>
          <w:tblHeader w:val="0"/>
        </w:trPr>
        <w:tc>
          <w:tcPr/>
          <w:p w:rsidR="00000000" w:rsidDel="00000000" w:rsidP="00000000" w:rsidRDefault="00000000" w:rsidRPr="00000000" w14:paraId="00000094">
            <w:pPr>
              <w:rPr>
                <w:sz w:val="22"/>
                <w:szCs w:val="22"/>
              </w:rPr>
            </w:pPr>
            <w:r w:rsidDel="00000000" w:rsidR="00000000" w:rsidRPr="00000000">
              <w:rPr>
                <w:sz w:val="22"/>
                <w:szCs w:val="22"/>
                <w:rtl w:val="0"/>
              </w:rPr>
              <w:t xml:space="preserve">Week 1</w:t>
            </w:r>
          </w:p>
        </w:tc>
        <w:tc>
          <w:tcPr/>
          <w:p w:rsidR="00000000" w:rsidDel="00000000" w:rsidP="00000000" w:rsidRDefault="00000000" w:rsidRPr="00000000" w14:paraId="00000095">
            <w:pPr>
              <w:rPr>
                <w:sz w:val="22"/>
                <w:szCs w:val="22"/>
              </w:rPr>
            </w:pPr>
            <w:r w:rsidDel="00000000" w:rsidR="00000000" w:rsidRPr="00000000">
              <w:rPr>
                <w:sz w:val="22"/>
                <w:szCs w:val="22"/>
                <w:rtl w:val="0"/>
              </w:rPr>
              <w:t xml:space="preserve">Vienna in its European Context</w:t>
            </w:r>
          </w:p>
        </w:tc>
        <w:tc>
          <w:tcPr/>
          <w:p w:rsidR="00000000" w:rsidDel="00000000" w:rsidP="00000000" w:rsidRDefault="00000000" w:rsidRPr="00000000" w14:paraId="00000096">
            <w:pPr>
              <w:rPr>
                <w:sz w:val="22"/>
                <w:szCs w:val="22"/>
              </w:rPr>
            </w:pPr>
            <w:r w:rsidDel="00000000" w:rsidR="00000000" w:rsidRPr="00000000">
              <w:rPr>
                <w:sz w:val="22"/>
                <w:szCs w:val="22"/>
                <w:rtl w:val="0"/>
              </w:rPr>
              <w:t xml:space="preserve">The European Continent: An Image of A City</w:t>
            </w:r>
          </w:p>
        </w:tc>
        <w:tc>
          <w:tcPr/>
          <w:p w:rsidR="00000000" w:rsidDel="00000000" w:rsidP="00000000" w:rsidRDefault="00000000" w:rsidRPr="00000000" w14:paraId="00000097">
            <w:pPr>
              <w:rPr>
                <w:sz w:val="22"/>
                <w:szCs w:val="22"/>
              </w:rPr>
            </w:pPr>
            <w:r w:rsidDel="00000000" w:rsidR="00000000" w:rsidRPr="00000000">
              <w:rPr>
                <w:sz w:val="22"/>
                <w:szCs w:val="22"/>
                <w:rtl w:val="0"/>
              </w:rPr>
              <w:t xml:space="preserve">Erickson, Hansen, Heindl</w:t>
            </w:r>
          </w:p>
        </w:tc>
        <w:tc>
          <w:tcPr/>
          <w:p w:rsidR="00000000" w:rsidDel="00000000" w:rsidP="00000000" w:rsidRDefault="00000000" w:rsidRPr="00000000" w14:paraId="00000098">
            <w:pPr>
              <w:rPr>
                <w:i w:val="1"/>
                <w:sz w:val="22"/>
                <w:szCs w:val="22"/>
              </w:rPr>
            </w:pPr>
            <w:r w:rsidDel="00000000" w:rsidR="00000000" w:rsidRPr="00000000">
              <w:rPr>
                <w:sz w:val="22"/>
                <w:szCs w:val="22"/>
                <w:rtl w:val="0"/>
              </w:rPr>
              <w:t xml:space="preserve">Billy Joel - </w:t>
            </w:r>
            <w:r w:rsidDel="00000000" w:rsidR="00000000" w:rsidRPr="00000000">
              <w:rPr>
                <w:i w:val="1"/>
                <w:sz w:val="22"/>
                <w:szCs w:val="22"/>
                <w:rtl w:val="0"/>
              </w:rPr>
              <w:t xml:space="preserve">Vienna</w:t>
            </w:r>
          </w:p>
          <w:p w:rsidR="00000000" w:rsidDel="00000000" w:rsidP="00000000" w:rsidRDefault="00000000" w:rsidRPr="00000000" w14:paraId="00000099">
            <w:pPr>
              <w:rPr>
                <w:i w:val="1"/>
                <w:sz w:val="22"/>
                <w:szCs w:val="22"/>
              </w:rPr>
            </w:pPr>
            <w:r w:rsidDel="00000000" w:rsidR="00000000" w:rsidRPr="00000000">
              <w:rPr>
                <w:rtl w:val="0"/>
              </w:rPr>
            </w:r>
          </w:p>
          <w:p w:rsidR="00000000" w:rsidDel="00000000" w:rsidP="00000000" w:rsidRDefault="00000000" w:rsidRPr="00000000" w14:paraId="0000009A">
            <w:pPr>
              <w:rPr>
                <w:i w:val="1"/>
                <w:sz w:val="22"/>
                <w:szCs w:val="22"/>
              </w:rPr>
            </w:pPr>
            <w:r w:rsidDel="00000000" w:rsidR="00000000" w:rsidRPr="00000000">
              <w:rPr>
                <w:sz w:val="22"/>
                <w:szCs w:val="22"/>
                <w:rtl w:val="0"/>
              </w:rPr>
              <w:t xml:space="preserve">Mozart (?) - </w:t>
            </w:r>
            <w:r w:rsidDel="00000000" w:rsidR="00000000" w:rsidRPr="00000000">
              <w:rPr>
                <w:i w:val="1"/>
                <w:sz w:val="22"/>
                <w:szCs w:val="22"/>
                <w:rtl w:val="0"/>
              </w:rPr>
              <w:t xml:space="preserve">Land der Berge, Land am Strome</w:t>
            </w:r>
          </w:p>
        </w:tc>
      </w:tr>
      <w:tr>
        <w:trPr>
          <w:cantSplit w:val="0"/>
          <w:tblHeader w:val="0"/>
        </w:trPr>
        <w:tc>
          <w:tcPr/>
          <w:p w:rsidR="00000000" w:rsidDel="00000000" w:rsidP="00000000" w:rsidRDefault="00000000" w:rsidRPr="00000000" w14:paraId="0000009B">
            <w:pPr>
              <w:rPr>
                <w:sz w:val="22"/>
                <w:szCs w:val="22"/>
              </w:rPr>
            </w:pPr>
            <w:r w:rsidDel="00000000" w:rsidR="00000000" w:rsidRPr="00000000">
              <w:rPr>
                <w:sz w:val="22"/>
                <w:szCs w:val="22"/>
                <w:rtl w:val="0"/>
              </w:rPr>
              <w:t xml:space="preserve">Week 2</w:t>
            </w:r>
          </w:p>
          <w:p w:rsidR="00000000" w:rsidDel="00000000" w:rsidP="00000000" w:rsidRDefault="00000000" w:rsidRPr="00000000" w14:paraId="0000009C">
            <w:pPr>
              <w:rPr>
                <w:i w:val="1"/>
                <w:sz w:val="22"/>
                <w:szCs w:val="22"/>
              </w:rPr>
            </w:pPr>
            <w:r w:rsidDel="00000000" w:rsidR="00000000" w:rsidRPr="00000000">
              <w:rPr>
                <w:i w:val="1"/>
                <w:sz w:val="22"/>
                <w:szCs w:val="22"/>
                <w:rtl w:val="0"/>
              </w:rPr>
              <w:t xml:space="preserve">Travel Journal #1 Due</w:t>
            </w:r>
          </w:p>
        </w:tc>
        <w:tc>
          <w:tcPr/>
          <w:p w:rsidR="00000000" w:rsidDel="00000000" w:rsidP="00000000" w:rsidRDefault="00000000" w:rsidRPr="00000000" w14:paraId="0000009D">
            <w:pPr>
              <w:rPr>
                <w:sz w:val="22"/>
                <w:szCs w:val="22"/>
              </w:rPr>
            </w:pPr>
            <w:r w:rsidDel="00000000" w:rsidR="00000000" w:rsidRPr="00000000">
              <w:rPr>
                <w:sz w:val="22"/>
                <w:szCs w:val="22"/>
                <w:rtl w:val="0"/>
              </w:rPr>
              <w:t xml:space="preserve">Vienna in its European Context</w:t>
            </w:r>
          </w:p>
        </w:tc>
        <w:tc>
          <w:tcPr/>
          <w:p w:rsidR="00000000" w:rsidDel="00000000" w:rsidP="00000000" w:rsidRDefault="00000000" w:rsidRPr="00000000" w14:paraId="0000009E">
            <w:pPr>
              <w:rPr>
                <w:sz w:val="22"/>
                <w:szCs w:val="22"/>
              </w:rPr>
            </w:pPr>
            <w:r w:rsidDel="00000000" w:rsidR="00000000" w:rsidRPr="00000000">
              <w:rPr>
                <w:sz w:val="22"/>
                <w:szCs w:val="22"/>
                <w:rtl w:val="0"/>
              </w:rPr>
              <w:t xml:space="preserve">The European Continent: A Collision of Musical Cultures</w:t>
            </w:r>
          </w:p>
        </w:tc>
        <w:tc>
          <w:tcPr/>
          <w:p w:rsidR="00000000" w:rsidDel="00000000" w:rsidP="00000000" w:rsidRDefault="00000000" w:rsidRPr="00000000" w14:paraId="0000009F">
            <w:pPr>
              <w:rPr>
                <w:sz w:val="22"/>
                <w:szCs w:val="22"/>
              </w:rPr>
            </w:pPr>
            <w:r w:rsidDel="00000000" w:rsidR="00000000" w:rsidRPr="00000000">
              <w:rPr>
                <w:sz w:val="22"/>
                <w:szCs w:val="22"/>
                <w:rtl w:val="0"/>
              </w:rPr>
              <w:t xml:space="preserve">Erickson, Hansen, Heindl</w:t>
            </w:r>
          </w:p>
        </w:tc>
        <w:tc>
          <w:tcPr/>
          <w:p w:rsidR="00000000" w:rsidDel="00000000" w:rsidP="00000000" w:rsidRDefault="00000000" w:rsidRPr="00000000" w14:paraId="000000A0">
            <w:pPr>
              <w:rPr>
                <w:i w:val="1"/>
                <w:sz w:val="22"/>
                <w:szCs w:val="22"/>
              </w:rPr>
            </w:pPr>
            <w:r w:rsidDel="00000000" w:rsidR="00000000" w:rsidRPr="00000000">
              <w:rPr>
                <w:sz w:val="22"/>
                <w:szCs w:val="22"/>
                <w:rtl w:val="0"/>
              </w:rPr>
              <w:t xml:space="preserve">Gluck - </w:t>
            </w:r>
            <w:r w:rsidDel="00000000" w:rsidR="00000000" w:rsidRPr="00000000">
              <w:rPr>
                <w:i w:val="1"/>
                <w:sz w:val="22"/>
                <w:szCs w:val="22"/>
                <w:rtl w:val="0"/>
              </w:rPr>
              <w:t xml:space="preserve">Orfeo</w:t>
            </w:r>
          </w:p>
        </w:tc>
      </w:tr>
      <w:tr>
        <w:trPr>
          <w:cantSplit w:val="0"/>
          <w:tblHeader w:val="0"/>
        </w:trPr>
        <w:tc>
          <w:tcPr/>
          <w:p w:rsidR="00000000" w:rsidDel="00000000" w:rsidP="00000000" w:rsidRDefault="00000000" w:rsidRPr="00000000" w14:paraId="000000A1">
            <w:pPr>
              <w:rPr>
                <w:sz w:val="22"/>
                <w:szCs w:val="22"/>
              </w:rPr>
            </w:pPr>
            <w:r w:rsidDel="00000000" w:rsidR="00000000" w:rsidRPr="00000000">
              <w:rPr>
                <w:sz w:val="22"/>
                <w:szCs w:val="22"/>
                <w:rtl w:val="0"/>
              </w:rPr>
              <w:t xml:space="preserve">Week 3</w:t>
            </w:r>
          </w:p>
        </w:tc>
        <w:tc>
          <w:tcPr/>
          <w:p w:rsidR="00000000" w:rsidDel="00000000" w:rsidP="00000000" w:rsidRDefault="00000000" w:rsidRPr="00000000" w14:paraId="000000A2">
            <w:pPr>
              <w:rPr>
                <w:sz w:val="22"/>
                <w:szCs w:val="22"/>
              </w:rPr>
            </w:pPr>
            <w:r w:rsidDel="00000000" w:rsidR="00000000" w:rsidRPr="00000000">
              <w:rPr>
                <w:sz w:val="22"/>
                <w:szCs w:val="22"/>
                <w:rtl w:val="0"/>
              </w:rPr>
              <w:t xml:space="preserve">Pezzl’s Sketch of Vienna: Mozart &amp; Joseph II</w:t>
            </w:r>
          </w:p>
        </w:tc>
        <w:tc>
          <w:tcPr/>
          <w:p w:rsidR="00000000" w:rsidDel="00000000" w:rsidP="00000000" w:rsidRDefault="00000000" w:rsidRPr="00000000" w14:paraId="000000A3">
            <w:pPr>
              <w:rPr>
                <w:sz w:val="22"/>
                <w:szCs w:val="22"/>
              </w:rPr>
            </w:pPr>
            <w:r w:rsidDel="00000000" w:rsidR="00000000" w:rsidRPr="00000000">
              <w:rPr>
                <w:sz w:val="22"/>
                <w:szCs w:val="22"/>
                <w:rtl w:val="0"/>
              </w:rPr>
              <w:t xml:space="preserve">Life in Vienna</w:t>
            </w:r>
          </w:p>
        </w:tc>
        <w:tc>
          <w:tcPr/>
          <w:p w:rsidR="00000000" w:rsidDel="00000000" w:rsidP="00000000" w:rsidRDefault="00000000" w:rsidRPr="00000000" w14:paraId="000000A4">
            <w:pPr>
              <w:rPr>
                <w:sz w:val="22"/>
                <w:szCs w:val="22"/>
              </w:rPr>
            </w:pPr>
            <w:r w:rsidDel="00000000" w:rsidR="00000000" w:rsidRPr="00000000">
              <w:rPr>
                <w:sz w:val="22"/>
                <w:szCs w:val="22"/>
                <w:rtl w:val="0"/>
              </w:rPr>
              <w:t xml:space="preserve">Landon, </w:t>
            </w:r>
            <w:r w:rsidDel="00000000" w:rsidR="00000000" w:rsidRPr="00000000">
              <w:rPr>
                <w:i w:val="1"/>
                <w:sz w:val="22"/>
                <w:szCs w:val="22"/>
                <w:rtl w:val="0"/>
              </w:rPr>
              <w:t xml:space="preserve">Mozart and Vienna</w:t>
            </w:r>
            <w:r w:rsidDel="00000000" w:rsidR="00000000" w:rsidRPr="00000000">
              <w:rPr>
                <w:sz w:val="22"/>
                <w:szCs w:val="22"/>
                <w:rtl w:val="0"/>
              </w:rPr>
              <w:t xml:space="preserve">, Ch. 5-6; Ringer, “Mozart and the Josephian Era;” Weiss and Taruskin, “Vienna, 1800.”</w:t>
            </w:r>
          </w:p>
        </w:tc>
        <w:tc>
          <w:tcPr/>
          <w:p w:rsidR="00000000" w:rsidDel="00000000" w:rsidP="00000000" w:rsidRDefault="00000000" w:rsidRPr="00000000" w14:paraId="000000A5">
            <w:pPr>
              <w:rPr>
                <w:sz w:val="22"/>
                <w:szCs w:val="22"/>
              </w:rPr>
            </w:pPr>
            <w:r w:rsidDel="00000000" w:rsidR="00000000" w:rsidRPr="00000000">
              <w:rPr>
                <w:sz w:val="22"/>
                <w:szCs w:val="22"/>
                <w:rtl w:val="0"/>
              </w:rPr>
              <w:t xml:space="preserve">“O du lieber Augustin”</w:t>
            </w:r>
          </w:p>
        </w:tc>
      </w:tr>
      <w:tr>
        <w:trPr>
          <w:cantSplit w:val="0"/>
          <w:tblHeader w:val="0"/>
        </w:trPr>
        <w:tc>
          <w:tcPr/>
          <w:p w:rsidR="00000000" w:rsidDel="00000000" w:rsidP="00000000" w:rsidRDefault="00000000" w:rsidRPr="00000000" w14:paraId="000000A6">
            <w:pPr>
              <w:rPr>
                <w:sz w:val="22"/>
                <w:szCs w:val="22"/>
              </w:rPr>
            </w:pPr>
            <w:r w:rsidDel="00000000" w:rsidR="00000000" w:rsidRPr="00000000">
              <w:rPr>
                <w:sz w:val="22"/>
                <w:szCs w:val="22"/>
                <w:rtl w:val="0"/>
              </w:rPr>
              <w:t xml:space="preserve">Week 4</w:t>
            </w:r>
          </w:p>
          <w:p w:rsidR="00000000" w:rsidDel="00000000" w:rsidP="00000000" w:rsidRDefault="00000000" w:rsidRPr="00000000" w14:paraId="000000A7">
            <w:pPr>
              <w:rPr>
                <w:i w:val="1"/>
                <w:sz w:val="22"/>
                <w:szCs w:val="22"/>
              </w:rPr>
            </w:pPr>
            <w:r w:rsidDel="00000000" w:rsidR="00000000" w:rsidRPr="00000000">
              <w:rPr>
                <w:i w:val="1"/>
                <w:sz w:val="22"/>
                <w:szCs w:val="22"/>
                <w:rtl w:val="0"/>
              </w:rPr>
              <w:t xml:space="preserve">Travel Journal #2 Due</w:t>
            </w:r>
          </w:p>
        </w:tc>
        <w:tc>
          <w:tcPr/>
          <w:p w:rsidR="00000000" w:rsidDel="00000000" w:rsidP="00000000" w:rsidRDefault="00000000" w:rsidRPr="00000000" w14:paraId="000000A8">
            <w:pPr>
              <w:rPr>
                <w:sz w:val="22"/>
                <w:szCs w:val="22"/>
              </w:rPr>
            </w:pPr>
            <w:r w:rsidDel="00000000" w:rsidR="00000000" w:rsidRPr="00000000">
              <w:rPr>
                <w:sz w:val="22"/>
                <w:szCs w:val="22"/>
                <w:rtl w:val="0"/>
              </w:rPr>
              <w:t xml:space="preserve">Religious Music of the Catholic Church</w:t>
            </w:r>
          </w:p>
        </w:tc>
        <w:tc>
          <w:tcPr/>
          <w:p w:rsidR="00000000" w:rsidDel="00000000" w:rsidP="00000000" w:rsidRDefault="00000000" w:rsidRPr="00000000" w14:paraId="000000A9">
            <w:pPr>
              <w:rPr>
                <w:sz w:val="22"/>
                <w:szCs w:val="22"/>
              </w:rPr>
            </w:pPr>
            <w:r w:rsidDel="00000000" w:rsidR="00000000" w:rsidRPr="00000000">
              <w:rPr>
                <w:rtl w:val="0"/>
              </w:rPr>
            </w:r>
          </w:p>
        </w:tc>
        <w:tc>
          <w:tcPr/>
          <w:p w:rsidR="00000000" w:rsidDel="00000000" w:rsidP="00000000" w:rsidRDefault="00000000" w:rsidRPr="00000000" w14:paraId="000000AA">
            <w:pPr>
              <w:rPr>
                <w:sz w:val="22"/>
                <w:szCs w:val="22"/>
              </w:rPr>
            </w:pPr>
            <w:r w:rsidDel="00000000" w:rsidR="00000000" w:rsidRPr="00000000">
              <w:rPr>
                <w:sz w:val="22"/>
                <w:szCs w:val="22"/>
                <w:rtl w:val="0"/>
              </w:rPr>
              <w:t xml:space="preserve">Dowley, Tim. </w:t>
            </w:r>
            <w:r w:rsidDel="00000000" w:rsidR="00000000" w:rsidRPr="00000000">
              <w:rPr>
                <w:i w:val="1"/>
                <w:sz w:val="22"/>
                <w:szCs w:val="22"/>
                <w:rtl w:val="0"/>
              </w:rPr>
              <w:t xml:space="preserve">Christian Music: A Global History</w:t>
            </w:r>
            <w:r w:rsidDel="00000000" w:rsidR="00000000" w:rsidRPr="00000000">
              <w:rPr>
                <w:sz w:val="22"/>
                <w:szCs w:val="22"/>
                <w:rtl w:val="0"/>
              </w:rPr>
              <w:t xml:space="preserve">. Revised edition. London: SPCK, 2018.</w:t>
            </w:r>
          </w:p>
          <w:p w:rsidR="00000000" w:rsidDel="00000000" w:rsidP="00000000" w:rsidRDefault="00000000" w:rsidRPr="00000000" w14:paraId="000000AB">
            <w:pPr>
              <w:rPr>
                <w:sz w:val="22"/>
                <w:szCs w:val="22"/>
              </w:rPr>
            </w:pPr>
            <w:r w:rsidDel="00000000" w:rsidR="00000000" w:rsidRPr="00000000">
              <w:rPr>
                <w:sz w:val="22"/>
                <w:szCs w:val="22"/>
                <w:rtl w:val="0"/>
              </w:rPr>
              <w:t xml:space="preserve">Pauly, Reinhard G. “The Reforms of Church Music under Joseph II.” </w:t>
            </w:r>
            <w:r w:rsidDel="00000000" w:rsidR="00000000" w:rsidRPr="00000000">
              <w:rPr>
                <w:i w:val="1"/>
                <w:sz w:val="22"/>
                <w:szCs w:val="22"/>
                <w:rtl w:val="0"/>
              </w:rPr>
              <w:t xml:space="preserve">The Musical Quarterly</w:t>
            </w:r>
            <w:r w:rsidDel="00000000" w:rsidR="00000000" w:rsidRPr="00000000">
              <w:rPr>
                <w:sz w:val="22"/>
                <w:szCs w:val="22"/>
                <w:rtl w:val="0"/>
              </w:rPr>
              <w:t xml:space="preserve"> 43, no. 3 (1957): 372–82. </w:t>
            </w:r>
          </w:p>
        </w:tc>
        <w:tc>
          <w:tcPr/>
          <w:p w:rsidR="00000000" w:rsidDel="00000000" w:rsidP="00000000" w:rsidRDefault="00000000" w:rsidRPr="00000000" w14:paraId="000000AC">
            <w:pPr>
              <w:rPr>
                <w:sz w:val="22"/>
                <w:szCs w:val="22"/>
              </w:rPr>
            </w:pPr>
            <w:r w:rsidDel="00000000" w:rsidR="00000000" w:rsidRPr="00000000">
              <w:rPr>
                <w:sz w:val="22"/>
                <w:szCs w:val="22"/>
                <w:rtl w:val="0"/>
              </w:rPr>
              <w:t xml:space="preserve">Mozart – Missa Brevis in C, Requiem</w:t>
            </w:r>
          </w:p>
        </w:tc>
      </w:tr>
      <w:tr>
        <w:trPr>
          <w:cantSplit w:val="0"/>
          <w:tblHeader w:val="0"/>
        </w:trPr>
        <w:tc>
          <w:tcPr/>
          <w:p w:rsidR="00000000" w:rsidDel="00000000" w:rsidP="00000000" w:rsidRDefault="00000000" w:rsidRPr="00000000" w14:paraId="000000AD">
            <w:pPr>
              <w:rPr>
                <w:sz w:val="22"/>
                <w:szCs w:val="22"/>
              </w:rPr>
            </w:pPr>
            <w:r w:rsidDel="00000000" w:rsidR="00000000" w:rsidRPr="00000000">
              <w:rPr>
                <w:sz w:val="22"/>
                <w:szCs w:val="22"/>
                <w:rtl w:val="0"/>
              </w:rPr>
              <w:t xml:space="preserve">Week 5</w:t>
            </w:r>
          </w:p>
        </w:tc>
        <w:tc>
          <w:tcPr/>
          <w:p w:rsidR="00000000" w:rsidDel="00000000" w:rsidP="00000000" w:rsidRDefault="00000000" w:rsidRPr="00000000" w14:paraId="000000AE">
            <w:pPr>
              <w:rPr>
                <w:sz w:val="22"/>
                <w:szCs w:val="22"/>
              </w:rPr>
            </w:pPr>
            <w:r w:rsidDel="00000000" w:rsidR="00000000" w:rsidRPr="00000000">
              <w:rPr>
                <w:sz w:val="22"/>
                <w:szCs w:val="22"/>
                <w:rtl w:val="0"/>
              </w:rPr>
              <w:t xml:space="preserve">Haydn</w:t>
            </w:r>
          </w:p>
        </w:tc>
        <w:tc>
          <w:tcPr/>
          <w:p w:rsidR="00000000" w:rsidDel="00000000" w:rsidP="00000000" w:rsidRDefault="00000000" w:rsidRPr="00000000" w14:paraId="000000AF">
            <w:pPr>
              <w:rPr>
                <w:sz w:val="22"/>
                <w:szCs w:val="22"/>
              </w:rPr>
            </w:pPr>
            <w:sdt>
              <w:sdtPr>
                <w:tag w:val="goog_rdk_1"/>
              </w:sdtPr>
              <w:sdtContent>
                <w:r w:rsidDel="00000000" w:rsidR="00000000" w:rsidRPr="00000000">
                  <w:rPr>
                    <w:rFonts w:ascii="Cardo" w:cs="Cardo" w:eastAsia="Cardo" w:hAnsi="Cardo"/>
                    <w:sz w:val="22"/>
                    <w:szCs w:val="22"/>
                    <w:rtl w:val="0"/>
                  </w:rPr>
                  <w:t xml:space="preserve">Esterháza/ Eisenstadt</w:t>
                </w:r>
              </w:sdtContent>
            </w:sdt>
          </w:p>
        </w:tc>
        <w:tc>
          <w:tcPr/>
          <w:p w:rsidR="00000000" w:rsidDel="00000000" w:rsidP="00000000" w:rsidRDefault="00000000" w:rsidRPr="00000000" w14:paraId="000000B0">
            <w:pPr>
              <w:rPr>
                <w:sz w:val="22"/>
                <w:szCs w:val="22"/>
              </w:rPr>
            </w:pPr>
            <w:sdt>
              <w:sdtPr>
                <w:tag w:val="goog_rdk_2"/>
              </w:sdtPr>
              <w:sdtContent>
                <w:r w:rsidDel="00000000" w:rsidR="00000000" w:rsidRPr="00000000">
                  <w:rPr>
                    <w:rFonts w:ascii="Cardo" w:cs="Cardo" w:eastAsia="Cardo" w:hAnsi="Cardo"/>
                    <w:sz w:val="22"/>
                    <w:szCs w:val="22"/>
                    <w:rtl w:val="0"/>
                  </w:rPr>
                  <w:t xml:space="preserve">Geiringer, “Joseph Haydn;” Weiss and Taruskin, “Haydn’s Duties...;” Landon, “The Fairy-Tale Castle” and “The Last Years at Esterháza.”</w:t>
                </w:r>
              </w:sdtContent>
            </w:sdt>
          </w:p>
        </w:tc>
        <w:tc>
          <w:tcPr/>
          <w:p w:rsidR="00000000" w:rsidDel="00000000" w:rsidP="00000000" w:rsidRDefault="00000000" w:rsidRPr="00000000" w14:paraId="000000B1">
            <w:pPr>
              <w:rPr>
                <w:sz w:val="22"/>
                <w:szCs w:val="22"/>
              </w:rPr>
            </w:pPr>
            <w:r w:rsidDel="00000000" w:rsidR="00000000" w:rsidRPr="00000000">
              <w:rPr>
                <w:i w:val="1"/>
                <w:sz w:val="22"/>
                <w:szCs w:val="22"/>
                <w:rtl w:val="0"/>
              </w:rPr>
              <w:t xml:space="preserve">Surprise</w:t>
            </w:r>
            <w:r w:rsidDel="00000000" w:rsidR="00000000" w:rsidRPr="00000000">
              <w:rPr>
                <w:sz w:val="22"/>
                <w:szCs w:val="22"/>
                <w:rtl w:val="0"/>
              </w:rPr>
              <w:t xml:space="preserve"> Symphony, </w:t>
            </w:r>
            <w:r w:rsidDel="00000000" w:rsidR="00000000" w:rsidRPr="00000000">
              <w:rPr>
                <w:i w:val="1"/>
                <w:sz w:val="22"/>
                <w:szCs w:val="22"/>
                <w:rtl w:val="0"/>
              </w:rPr>
              <w:t xml:space="preserve">Joke</w:t>
            </w:r>
            <w:r w:rsidDel="00000000" w:rsidR="00000000" w:rsidRPr="00000000">
              <w:rPr>
                <w:sz w:val="22"/>
                <w:szCs w:val="22"/>
                <w:rtl w:val="0"/>
              </w:rPr>
              <w:t xml:space="preserve"> Quartet</w:t>
            </w:r>
          </w:p>
        </w:tc>
      </w:tr>
      <w:tr>
        <w:trPr>
          <w:cantSplit w:val="0"/>
          <w:tblHeader w:val="0"/>
        </w:trPr>
        <w:tc>
          <w:tcPr/>
          <w:p w:rsidR="00000000" w:rsidDel="00000000" w:rsidP="00000000" w:rsidRDefault="00000000" w:rsidRPr="00000000" w14:paraId="000000B2">
            <w:pPr>
              <w:rPr>
                <w:sz w:val="22"/>
                <w:szCs w:val="22"/>
              </w:rPr>
            </w:pPr>
            <w:r w:rsidDel="00000000" w:rsidR="00000000" w:rsidRPr="00000000">
              <w:rPr>
                <w:sz w:val="22"/>
                <w:szCs w:val="22"/>
                <w:rtl w:val="0"/>
              </w:rPr>
              <w:t xml:space="preserve">Week 6</w:t>
            </w:r>
          </w:p>
          <w:p w:rsidR="00000000" w:rsidDel="00000000" w:rsidP="00000000" w:rsidRDefault="00000000" w:rsidRPr="00000000" w14:paraId="000000B3">
            <w:pPr>
              <w:rPr>
                <w:sz w:val="22"/>
                <w:szCs w:val="22"/>
              </w:rPr>
            </w:pPr>
            <w:r w:rsidDel="00000000" w:rsidR="00000000" w:rsidRPr="00000000">
              <w:rPr>
                <w:i w:val="1"/>
                <w:sz w:val="22"/>
                <w:szCs w:val="22"/>
                <w:rtl w:val="0"/>
              </w:rPr>
              <w:t xml:space="preserve">Travel Journal #3 Due</w:t>
            </w:r>
            <w:r w:rsidDel="00000000" w:rsidR="00000000" w:rsidRPr="00000000">
              <w:rPr>
                <w:rtl w:val="0"/>
              </w:rPr>
            </w:r>
          </w:p>
        </w:tc>
        <w:tc>
          <w:tcPr/>
          <w:p w:rsidR="00000000" w:rsidDel="00000000" w:rsidP="00000000" w:rsidRDefault="00000000" w:rsidRPr="00000000" w14:paraId="000000B4">
            <w:pPr>
              <w:rPr>
                <w:sz w:val="22"/>
                <w:szCs w:val="22"/>
              </w:rPr>
            </w:pPr>
            <w:r w:rsidDel="00000000" w:rsidR="00000000" w:rsidRPr="00000000">
              <w:rPr>
                <w:sz w:val="22"/>
                <w:szCs w:val="22"/>
                <w:rtl w:val="0"/>
              </w:rPr>
              <w:t xml:space="preserve">Mozart’s arrival in Vienna</w:t>
            </w:r>
          </w:p>
        </w:tc>
        <w:tc>
          <w:tcPr/>
          <w:p w:rsidR="00000000" w:rsidDel="00000000" w:rsidP="00000000" w:rsidRDefault="00000000" w:rsidRPr="00000000" w14:paraId="000000B5">
            <w:pPr>
              <w:rPr>
                <w:sz w:val="22"/>
                <w:szCs w:val="22"/>
              </w:rPr>
            </w:pPr>
            <w:r w:rsidDel="00000000" w:rsidR="00000000" w:rsidRPr="00000000">
              <w:rPr>
                <w:sz w:val="22"/>
                <w:szCs w:val="22"/>
                <w:rtl w:val="0"/>
              </w:rPr>
              <w:t xml:space="preserve">Exoticism, Janissary Music, Amadeus Clip</w:t>
            </w:r>
          </w:p>
        </w:tc>
        <w:tc>
          <w:tcPr/>
          <w:p w:rsidR="00000000" w:rsidDel="00000000" w:rsidP="00000000" w:rsidRDefault="00000000" w:rsidRPr="00000000" w14:paraId="000000B6">
            <w:pPr>
              <w:rPr>
                <w:sz w:val="22"/>
                <w:szCs w:val="22"/>
              </w:rPr>
            </w:pPr>
            <w:r w:rsidDel="00000000" w:rsidR="00000000" w:rsidRPr="00000000">
              <w:rPr>
                <w:sz w:val="22"/>
                <w:szCs w:val="22"/>
                <w:rtl w:val="0"/>
              </w:rPr>
              <w:t xml:space="preserve">Link, “Mozart in Vienna”; Bauman, “Coming of Age in Vienna”</w:t>
            </w:r>
          </w:p>
        </w:tc>
        <w:tc>
          <w:tcPr/>
          <w:p w:rsidR="00000000" w:rsidDel="00000000" w:rsidP="00000000" w:rsidRDefault="00000000" w:rsidRPr="00000000" w14:paraId="000000B7">
            <w:pPr>
              <w:rPr>
                <w:sz w:val="22"/>
                <w:szCs w:val="22"/>
              </w:rPr>
            </w:pPr>
            <w:sdt>
              <w:sdtPr>
                <w:tag w:val="goog_rdk_3"/>
              </w:sdtPr>
              <w:sdtContent>
                <w:r w:rsidDel="00000000" w:rsidR="00000000" w:rsidRPr="00000000">
                  <w:rPr>
                    <w:rFonts w:ascii="Cardo" w:cs="Cardo" w:eastAsia="Cardo" w:hAnsi="Cardo"/>
                    <w:i w:val="1"/>
                    <w:sz w:val="22"/>
                    <w:szCs w:val="22"/>
                    <w:rtl w:val="0"/>
                  </w:rPr>
                  <w:t xml:space="preserve">Die Entführung aus dem Serail</w:t>
                </w:r>
              </w:sdtContent>
            </w:sdt>
            <w:r w:rsidDel="00000000" w:rsidR="00000000" w:rsidRPr="00000000">
              <w:rPr>
                <w:rtl w:val="0"/>
              </w:rPr>
            </w:r>
          </w:p>
        </w:tc>
      </w:tr>
      <w:tr>
        <w:trPr>
          <w:cantSplit w:val="0"/>
          <w:tblHeader w:val="0"/>
        </w:trPr>
        <w:tc>
          <w:tcPr/>
          <w:p w:rsidR="00000000" w:rsidDel="00000000" w:rsidP="00000000" w:rsidRDefault="00000000" w:rsidRPr="00000000" w14:paraId="000000B8">
            <w:pPr>
              <w:rPr>
                <w:sz w:val="22"/>
                <w:szCs w:val="22"/>
              </w:rPr>
            </w:pPr>
            <w:r w:rsidDel="00000000" w:rsidR="00000000" w:rsidRPr="00000000">
              <w:rPr>
                <w:sz w:val="22"/>
                <w:szCs w:val="22"/>
                <w:rtl w:val="0"/>
              </w:rPr>
              <w:t xml:space="preserve">Week 7</w:t>
            </w:r>
          </w:p>
        </w:tc>
        <w:tc>
          <w:tcPr/>
          <w:p w:rsidR="00000000" w:rsidDel="00000000" w:rsidP="00000000" w:rsidRDefault="00000000" w:rsidRPr="00000000" w14:paraId="000000B9">
            <w:pPr>
              <w:rPr>
                <w:sz w:val="22"/>
                <w:szCs w:val="22"/>
              </w:rPr>
            </w:pPr>
            <w:r w:rsidDel="00000000" w:rsidR="00000000" w:rsidRPr="00000000">
              <w:rPr>
                <w:sz w:val="22"/>
                <w:szCs w:val="22"/>
                <w:rtl w:val="0"/>
              </w:rPr>
              <w:t xml:space="preserve">Mozart, Freemasonry, and the </w:t>
            </w:r>
            <w:r w:rsidDel="00000000" w:rsidR="00000000" w:rsidRPr="00000000">
              <w:rPr>
                <w:i w:val="1"/>
                <w:sz w:val="22"/>
                <w:szCs w:val="22"/>
                <w:rtl w:val="0"/>
              </w:rPr>
              <w:t xml:space="preserve">Magic Flute</w:t>
            </w:r>
            <w:r w:rsidDel="00000000" w:rsidR="00000000" w:rsidRPr="00000000">
              <w:rPr>
                <w:rtl w:val="0"/>
              </w:rPr>
            </w:r>
          </w:p>
        </w:tc>
        <w:tc>
          <w:tcPr/>
          <w:p w:rsidR="00000000" w:rsidDel="00000000" w:rsidP="00000000" w:rsidRDefault="00000000" w:rsidRPr="00000000" w14:paraId="000000BA">
            <w:pPr>
              <w:rPr>
                <w:sz w:val="22"/>
                <w:szCs w:val="22"/>
              </w:rPr>
            </w:pPr>
            <w:r w:rsidDel="00000000" w:rsidR="00000000" w:rsidRPr="00000000">
              <w:rPr>
                <w:sz w:val="22"/>
                <w:szCs w:val="22"/>
                <w:rtl w:val="0"/>
              </w:rPr>
              <w:t xml:space="preserve">Emanuel Schikaneder, Theater an der Wien, Amadeus Clip</w:t>
            </w:r>
          </w:p>
        </w:tc>
        <w:tc>
          <w:tcPr/>
          <w:p w:rsidR="00000000" w:rsidDel="00000000" w:rsidP="00000000" w:rsidRDefault="00000000" w:rsidRPr="00000000" w14:paraId="000000BB">
            <w:pPr>
              <w:rPr>
                <w:sz w:val="22"/>
                <w:szCs w:val="22"/>
              </w:rPr>
            </w:pPr>
            <w:r w:rsidDel="00000000" w:rsidR="00000000" w:rsidRPr="00000000">
              <w:rPr>
                <w:sz w:val="22"/>
                <w:szCs w:val="22"/>
                <w:rtl w:val="0"/>
              </w:rPr>
              <w:t xml:space="preserve">Braunbehrens, “Mozart and Freemasonry;” Branscombe, “The intellectual background: Freemasonry.”</w:t>
            </w:r>
          </w:p>
        </w:tc>
        <w:tc>
          <w:tcPr/>
          <w:p w:rsidR="00000000" w:rsidDel="00000000" w:rsidP="00000000" w:rsidRDefault="00000000" w:rsidRPr="00000000" w14:paraId="000000BC">
            <w:pPr>
              <w:rPr>
                <w:i w:val="1"/>
                <w:sz w:val="22"/>
                <w:szCs w:val="22"/>
              </w:rPr>
            </w:pPr>
            <w:r w:rsidDel="00000000" w:rsidR="00000000" w:rsidRPr="00000000">
              <w:rPr>
                <w:i w:val="1"/>
                <w:sz w:val="22"/>
                <w:szCs w:val="22"/>
                <w:rtl w:val="0"/>
              </w:rPr>
              <w:t xml:space="preserve">Magic Flute</w:t>
            </w:r>
          </w:p>
        </w:tc>
      </w:tr>
      <w:tr>
        <w:trPr>
          <w:cantSplit w:val="0"/>
          <w:tblHeader w:val="0"/>
        </w:trPr>
        <w:tc>
          <w:tcPr/>
          <w:p w:rsidR="00000000" w:rsidDel="00000000" w:rsidP="00000000" w:rsidRDefault="00000000" w:rsidRPr="00000000" w14:paraId="000000BD">
            <w:pPr>
              <w:rPr>
                <w:sz w:val="22"/>
                <w:szCs w:val="22"/>
              </w:rPr>
            </w:pPr>
            <w:r w:rsidDel="00000000" w:rsidR="00000000" w:rsidRPr="00000000">
              <w:rPr>
                <w:sz w:val="22"/>
                <w:szCs w:val="22"/>
                <w:rtl w:val="0"/>
              </w:rPr>
              <w:t xml:space="preserve">Week 8</w:t>
            </w:r>
          </w:p>
          <w:p w:rsidR="00000000" w:rsidDel="00000000" w:rsidP="00000000" w:rsidRDefault="00000000" w:rsidRPr="00000000" w14:paraId="000000BE">
            <w:pPr>
              <w:rPr>
                <w:sz w:val="22"/>
                <w:szCs w:val="22"/>
              </w:rPr>
            </w:pPr>
            <w:r w:rsidDel="00000000" w:rsidR="00000000" w:rsidRPr="00000000">
              <w:rPr>
                <w:i w:val="1"/>
                <w:sz w:val="22"/>
                <w:szCs w:val="22"/>
                <w:rtl w:val="0"/>
              </w:rPr>
              <w:t xml:space="preserve">Travel Journal #4 Due</w:t>
            </w:r>
            <w:r w:rsidDel="00000000" w:rsidR="00000000" w:rsidRPr="00000000">
              <w:rPr>
                <w:rtl w:val="0"/>
              </w:rPr>
            </w:r>
          </w:p>
        </w:tc>
        <w:tc>
          <w:tcPr/>
          <w:p w:rsidR="00000000" w:rsidDel="00000000" w:rsidP="00000000" w:rsidRDefault="00000000" w:rsidRPr="00000000" w14:paraId="000000BF">
            <w:pPr>
              <w:rPr>
                <w:sz w:val="22"/>
                <w:szCs w:val="22"/>
              </w:rPr>
            </w:pPr>
            <w:r w:rsidDel="00000000" w:rsidR="00000000" w:rsidRPr="00000000">
              <w:rPr>
                <w:sz w:val="22"/>
                <w:szCs w:val="22"/>
                <w:rtl w:val="0"/>
              </w:rPr>
              <w:t xml:space="preserve">A Walk in the Country: Beethoven and Heiligenstadt</w:t>
            </w:r>
            <w:r w:rsidDel="00000000" w:rsidR="00000000" w:rsidRPr="00000000">
              <w:rPr>
                <w:rtl w:val="0"/>
              </w:rPr>
            </w:r>
          </w:p>
        </w:tc>
        <w:tc>
          <w:tcPr/>
          <w:p w:rsidR="00000000" w:rsidDel="00000000" w:rsidP="00000000" w:rsidRDefault="00000000" w:rsidRPr="00000000" w14:paraId="000000C0">
            <w:pPr>
              <w:rPr>
                <w:sz w:val="22"/>
                <w:szCs w:val="22"/>
              </w:rPr>
            </w:pPr>
            <w:r w:rsidDel="00000000" w:rsidR="00000000" w:rsidRPr="00000000">
              <w:rPr>
                <w:sz w:val="22"/>
                <w:szCs w:val="22"/>
                <w:rtl w:val="0"/>
              </w:rPr>
              <w:t xml:space="preserve">The Vienna Woods and Musical Landscape</w:t>
            </w:r>
          </w:p>
        </w:tc>
        <w:tc>
          <w:tcPr/>
          <w:p w:rsidR="00000000" w:rsidDel="00000000" w:rsidP="00000000" w:rsidRDefault="00000000" w:rsidRPr="00000000" w14:paraId="000000C1">
            <w:pPr>
              <w:rPr>
                <w:sz w:val="22"/>
                <w:szCs w:val="22"/>
              </w:rPr>
            </w:pPr>
            <w:r w:rsidDel="00000000" w:rsidR="00000000" w:rsidRPr="00000000">
              <w:rPr>
                <w:sz w:val="22"/>
                <w:szCs w:val="22"/>
                <w:rtl w:val="0"/>
              </w:rPr>
              <w:t xml:space="preserve">“Heiligenstadt Testament.”</w:t>
            </w:r>
          </w:p>
        </w:tc>
        <w:tc>
          <w:tcPr/>
          <w:p w:rsidR="00000000" w:rsidDel="00000000" w:rsidP="00000000" w:rsidRDefault="00000000" w:rsidRPr="00000000" w14:paraId="000000C2">
            <w:pPr>
              <w:rPr>
                <w:sz w:val="22"/>
                <w:szCs w:val="22"/>
              </w:rPr>
            </w:pPr>
            <w:r w:rsidDel="00000000" w:rsidR="00000000" w:rsidRPr="00000000">
              <w:rPr>
                <w:sz w:val="22"/>
                <w:szCs w:val="22"/>
                <w:rtl w:val="0"/>
              </w:rPr>
              <w:t xml:space="preserve">Symphony 5 and 6</w:t>
            </w:r>
          </w:p>
        </w:tc>
      </w:tr>
      <w:tr>
        <w:trPr>
          <w:cantSplit w:val="0"/>
          <w:tblHeader w:val="0"/>
        </w:trPr>
        <w:tc>
          <w:tcPr/>
          <w:p w:rsidR="00000000" w:rsidDel="00000000" w:rsidP="00000000" w:rsidRDefault="00000000" w:rsidRPr="00000000" w14:paraId="000000C3">
            <w:pPr>
              <w:rPr>
                <w:sz w:val="22"/>
                <w:szCs w:val="22"/>
              </w:rPr>
            </w:pPr>
            <w:r w:rsidDel="00000000" w:rsidR="00000000" w:rsidRPr="00000000">
              <w:rPr>
                <w:sz w:val="22"/>
                <w:szCs w:val="22"/>
                <w:rtl w:val="0"/>
              </w:rPr>
              <w:t xml:space="preserve">Week 9</w:t>
            </w:r>
          </w:p>
        </w:tc>
        <w:tc>
          <w:tcPr/>
          <w:p w:rsidR="00000000" w:rsidDel="00000000" w:rsidP="00000000" w:rsidRDefault="00000000" w:rsidRPr="00000000" w14:paraId="000000C4">
            <w:pPr>
              <w:rPr>
                <w:sz w:val="22"/>
                <w:szCs w:val="22"/>
              </w:rPr>
            </w:pPr>
            <w:r w:rsidDel="00000000" w:rsidR="00000000" w:rsidRPr="00000000">
              <w:rPr>
                <w:sz w:val="22"/>
                <w:szCs w:val="22"/>
                <w:rtl w:val="0"/>
              </w:rPr>
              <w:t xml:space="preserve">Foundations of Beethoven’s Ninth: A Case Study</w:t>
            </w:r>
          </w:p>
        </w:tc>
        <w:tc>
          <w:tcPr/>
          <w:p w:rsidR="00000000" w:rsidDel="00000000" w:rsidP="00000000" w:rsidRDefault="00000000" w:rsidRPr="00000000" w14:paraId="000000C5">
            <w:pPr>
              <w:rPr>
                <w:sz w:val="22"/>
                <w:szCs w:val="22"/>
              </w:rPr>
            </w:pPr>
            <w:r w:rsidDel="00000000" w:rsidR="00000000" w:rsidRPr="00000000">
              <w:rPr>
                <w:sz w:val="22"/>
                <w:szCs w:val="22"/>
                <w:rtl w:val="0"/>
              </w:rPr>
              <w:t xml:space="preserve">Subscription Concert</w:t>
            </w:r>
          </w:p>
        </w:tc>
        <w:tc>
          <w:tcPr/>
          <w:p w:rsidR="00000000" w:rsidDel="00000000" w:rsidP="00000000" w:rsidRDefault="00000000" w:rsidRPr="00000000" w14:paraId="000000C6">
            <w:pPr>
              <w:rPr>
                <w:sz w:val="22"/>
                <w:szCs w:val="22"/>
              </w:rPr>
            </w:pPr>
            <w:r w:rsidDel="00000000" w:rsidR="00000000" w:rsidRPr="00000000">
              <w:rPr>
                <w:sz w:val="22"/>
                <w:szCs w:val="22"/>
                <w:rtl w:val="0"/>
              </w:rPr>
              <w:t xml:space="preserve">Treitler, Leo. “History, Criticism, and Beethoven’s Ninth Symphony.” </w:t>
            </w:r>
            <w:r w:rsidDel="00000000" w:rsidR="00000000" w:rsidRPr="00000000">
              <w:rPr>
                <w:i w:val="1"/>
                <w:sz w:val="22"/>
                <w:szCs w:val="22"/>
                <w:rtl w:val="0"/>
              </w:rPr>
              <w:t xml:space="preserve">19th-Century Music</w:t>
            </w:r>
            <w:r w:rsidDel="00000000" w:rsidR="00000000" w:rsidRPr="00000000">
              <w:rPr>
                <w:sz w:val="22"/>
                <w:szCs w:val="22"/>
                <w:rtl w:val="0"/>
              </w:rPr>
              <w:t xml:space="preserve"> 3, no. 3 (1980): 193–210. </w:t>
            </w:r>
          </w:p>
          <w:p w:rsidR="00000000" w:rsidDel="00000000" w:rsidP="00000000" w:rsidRDefault="00000000" w:rsidRPr="00000000" w14:paraId="000000C7">
            <w:pPr>
              <w:rPr>
                <w:sz w:val="22"/>
                <w:szCs w:val="22"/>
              </w:rPr>
            </w:pPr>
            <w:r w:rsidDel="00000000" w:rsidR="00000000" w:rsidRPr="00000000">
              <w:rPr>
                <w:sz w:val="22"/>
                <w:szCs w:val="22"/>
                <w:rtl w:val="0"/>
              </w:rPr>
              <w:t xml:space="preserve">Buurman, E</w:t>
            </w:r>
            <w:r w:rsidDel="00000000" w:rsidR="00000000" w:rsidRPr="00000000">
              <w:rPr>
                <w:sz w:val="22"/>
                <w:szCs w:val="22"/>
                <w:rtl w:val="0"/>
              </w:rPr>
              <w:t xml:space="preserve">rica. “New Evidence in an Old Argument: Beethoven’s Metronome Mark for the Trio of the Ninth Symphony.” </w:t>
            </w:r>
            <w:r w:rsidDel="00000000" w:rsidR="00000000" w:rsidRPr="00000000">
              <w:rPr>
                <w:i w:val="1"/>
                <w:sz w:val="22"/>
                <w:szCs w:val="22"/>
                <w:rtl w:val="0"/>
              </w:rPr>
              <w:t xml:space="preserve">The Musical Times</w:t>
            </w:r>
            <w:r w:rsidDel="00000000" w:rsidR="00000000" w:rsidRPr="00000000">
              <w:rPr>
                <w:sz w:val="22"/>
                <w:szCs w:val="22"/>
                <w:rtl w:val="0"/>
              </w:rPr>
              <w:t xml:space="preserve"> 152, no. 1917 (2011): 15–30. </w:t>
            </w:r>
          </w:p>
        </w:tc>
        <w:tc>
          <w:tcPr/>
          <w:p w:rsidR="00000000" w:rsidDel="00000000" w:rsidP="00000000" w:rsidRDefault="00000000" w:rsidRPr="00000000" w14:paraId="000000C8">
            <w:pPr>
              <w:rPr>
                <w:sz w:val="22"/>
                <w:szCs w:val="22"/>
              </w:rPr>
            </w:pPr>
            <w:r w:rsidDel="00000000" w:rsidR="00000000" w:rsidRPr="00000000">
              <w:rPr>
                <w:sz w:val="22"/>
                <w:szCs w:val="22"/>
                <w:rtl w:val="0"/>
              </w:rPr>
              <w:t xml:space="preserve">Beethoven’s Ninth Symphony</w:t>
            </w:r>
          </w:p>
        </w:tc>
      </w:tr>
      <w:tr>
        <w:trPr>
          <w:cantSplit w:val="0"/>
          <w:tblHeader w:val="0"/>
        </w:trPr>
        <w:tc>
          <w:tcPr/>
          <w:p w:rsidR="00000000" w:rsidDel="00000000" w:rsidP="00000000" w:rsidRDefault="00000000" w:rsidRPr="00000000" w14:paraId="000000C9">
            <w:pPr>
              <w:rPr>
                <w:sz w:val="22"/>
                <w:szCs w:val="22"/>
              </w:rPr>
            </w:pPr>
            <w:r w:rsidDel="00000000" w:rsidR="00000000" w:rsidRPr="00000000">
              <w:rPr>
                <w:sz w:val="22"/>
                <w:szCs w:val="22"/>
                <w:rtl w:val="0"/>
              </w:rPr>
              <w:t xml:space="preserve">Week 10</w:t>
            </w:r>
          </w:p>
          <w:p w:rsidR="00000000" w:rsidDel="00000000" w:rsidP="00000000" w:rsidRDefault="00000000" w:rsidRPr="00000000" w14:paraId="000000CA">
            <w:pPr>
              <w:rPr>
                <w:sz w:val="22"/>
                <w:szCs w:val="22"/>
              </w:rPr>
            </w:pPr>
            <w:r w:rsidDel="00000000" w:rsidR="00000000" w:rsidRPr="00000000">
              <w:rPr>
                <w:i w:val="1"/>
                <w:sz w:val="22"/>
                <w:szCs w:val="22"/>
                <w:rtl w:val="0"/>
              </w:rPr>
              <w:t xml:space="preserve">Travel Journal #5 Due</w:t>
            </w:r>
            <w:r w:rsidDel="00000000" w:rsidR="00000000" w:rsidRPr="00000000">
              <w:rPr>
                <w:rtl w:val="0"/>
              </w:rPr>
            </w:r>
          </w:p>
        </w:tc>
        <w:tc>
          <w:tcPr/>
          <w:p w:rsidR="00000000" w:rsidDel="00000000" w:rsidP="00000000" w:rsidRDefault="00000000" w:rsidRPr="00000000" w14:paraId="000000CB">
            <w:pPr>
              <w:rPr>
                <w:sz w:val="22"/>
                <w:szCs w:val="22"/>
              </w:rPr>
            </w:pPr>
            <w:r w:rsidDel="00000000" w:rsidR="00000000" w:rsidRPr="00000000">
              <w:rPr>
                <w:sz w:val="22"/>
                <w:szCs w:val="22"/>
                <w:rtl w:val="0"/>
              </w:rPr>
              <w:t xml:space="preserve">Patriotism and Emerging Nationalism</w:t>
            </w:r>
          </w:p>
        </w:tc>
        <w:tc>
          <w:tcPr/>
          <w:p w:rsidR="00000000" w:rsidDel="00000000" w:rsidP="00000000" w:rsidRDefault="00000000" w:rsidRPr="00000000" w14:paraId="000000CC">
            <w:pPr>
              <w:rPr>
                <w:sz w:val="22"/>
                <w:szCs w:val="22"/>
              </w:rPr>
            </w:pPr>
            <w:r w:rsidDel="00000000" w:rsidR="00000000" w:rsidRPr="00000000">
              <w:rPr>
                <w:sz w:val="22"/>
                <w:szCs w:val="22"/>
                <w:rtl w:val="0"/>
              </w:rPr>
              <w:t xml:space="preserve">Napoleonic Wars</w:t>
            </w:r>
          </w:p>
        </w:tc>
        <w:tc>
          <w:tcPr/>
          <w:p w:rsidR="00000000" w:rsidDel="00000000" w:rsidP="00000000" w:rsidRDefault="00000000" w:rsidRPr="00000000" w14:paraId="000000CD">
            <w:pPr>
              <w:rPr>
                <w:sz w:val="22"/>
                <w:szCs w:val="22"/>
              </w:rPr>
            </w:pPr>
            <w:r w:rsidDel="00000000" w:rsidR="00000000" w:rsidRPr="00000000">
              <w:rPr>
                <w:sz w:val="22"/>
                <w:szCs w:val="22"/>
                <w:rtl w:val="0"/>
              </w:rPr>
              <w:t xml:space="preserve">Langsam, Walter Consuelo. “Emperor Francis II and the Austrian ‘Jacobins,’ 1792-1796.” </w:t>
            </w:r>
            <w:r w:rsidDel="00000000" w:rsidR="00000000" w:rsidRPr="00000000">
              <w:rPr>
                <w:i w:val="1"/>
                <w:sz w:val="22"/>
                <w:szCs w:val="22"/>
                <w:rtl w:val="0"/>
              </w:rPr>
              <w:t xml:space="preserve">The American Historical Review</w:t>
            </w:r>
            <w:r w:rsidDel="00000000" w:rsidR="00000000" w:rsidRPr="00000000">
              <w:rPr>
                <w:sz w:val="22"/>
                <w:szCs w:val="22"/>
                <w:rtl w:val="0"/>
              </w:rPr>
              <w:t xml:space="preserve"> 50, no. 3 (1945): 471–90. </w:t>
            </w:r>
          </w:p>
        </w:tc>
        <w:tc>
          <w:tcPr/>
          <w:p w:rsidR="00000000" w:rsidDel="00000000" w:rsidP="00000000" w:rsidRDefault="00000000" w:rsidRPr="00000000" w14:paraId="000000CE">
            <w:pPr>
              <w:rPr>
                <w:sz w:val="22"/>
                <w:szCs w:val="22"/>
              </w:rPr>
            </w:pPr>
            <w:r w:rsidDel="00000000" w:rsidR="00000000" w:rsidRPr="00000000">
              <w:rPr>
                <w:sz w:val="22"/>
                <w:szCs w:val="22"/>
                <w:rtl w:val="0"/>
              </w:rPr>
              <w:t xml:space="preserve">Haydn - </w:t>
            </w:r>
            <w:r w:rsidDel="00000000" w:rsidR="00000000" w:rsidRPr="00000000">
              <w:rPr>
                <w:i w:val="1"/>
                <w:sz w:val="22"/>
                <w:szCs w:val="22"/>
                <w:rtl w:val="0"/>
              </w:rPr>
              <w:t xml:space="preserve">Gott Erhalte </w:t>
            </w:r>
            <w:r w:rsidDel="00000000" w:rsidR="00000000" w:rsidRPr="00000000">
              <w:rPr>
                <w:sz w:val="22"/>
                <w:szCs w:val="22"/>
                <w:rtl w:val="0"/>
              </w:rPr>
              <w:t xml:space="preserve">&amp; Kaiserquartett</w:t>
            </w:r>
          </w:p>
          <w:p w:rsidR="00000000" w:rsidDel="00000000" w:rsidP="00000000" w:rsidRDefault="00000000" w:rsidRPr="00000000" w14:paraId="000000CF">
            <w:pPr>
              <w:rPr>
                <w:sz w:val="22"/>
                <w:szCs w:val="22"/>
              </w:rPr>
            </w:pPr>
            <w:r w:rsidDel="00000000" w:rsidR="00000000" w:rsidRPr="00000000">
              <w:rPr>
                <w:rtl w:val="0"/>
              </w:rPr>
            </w:r>
          </w:p>
          <w:p w:rsidR="00000000" w:rsidDel="00000000" w:rsidP="00000000" w:rsidRDefault="00000000" w:rsidRPr="00000000" w14:paraId="000000D0">
            <w:pPr>
              <w:rPr>
                <w:i w:val="1"/>
                <w:sz w:val="22"/>
                <w:szCs w:val="22"/>
              </w:rPr>
            </w:pPr>
            <w:r w:rsidDel="00000000" w:rsidR="00000000" w:rsidRPr="00000000">
              <w:rPr>
                <w:sz w:val="22"/>
                <w:szCs w:val="22"/>
                <w:rtl w:val="0"/>
              </w:rPr>
              <w:t xml:space="preserve">Beethoven - </w:t>
            </w:r>
            <w:r w:rsidDel="00000000" w:rsidR="00000000" w:rsidRPr="00000000">
              <w:rPr>
                <w:i w:val="1"/>
                <w:sz w:val="22"/>
                <w:szCs w:val="22"/>
                <w:rtl w:val="0"/>
              </w:rPr>
              <w:t xml:space="preserve">Wellington's Victory </w:t>
            </w:r>
            <w:r w:rsidDel="00000000" w:rsidR="00000000" w:rsidRPr="00000000">
              <w:rPr>
                <w:sz w:val="22"/>
                <w:szCs w:val="22"/>
                <w:rtl w:val="0"/>
              </w:rPr>
              <w:t xml:space="preserve">and </w:t>
            </w:r>
            <w:r w:rsidDel="00000000" w:rsidR="00000000" w:rsidRPr="00000000">
              <w:rPr>
                <w:i w:val="1"/>
                <w:sz w:val="22"/>
                <w:szCs w:val="22"/>
                <w:rtl w:val="0"/>
              </w:rPr>
              <w:t xml:space="preserve">Fidelio </w:t>
            </w:r>
          </w:p>
        </w:tc>
      </w:tr>
      <w:tr>
        <w:trPr>
          <w:cantSplit w:val="0"/>
          <w:tblHeader w:val="0"/>
        </w:trPr>
        <w:tc>
          <w:tcPr/>
          <w:p w:rsidR="00000000" w:rsidDel="00000000" w:rsidP="00000000" w:rsidRDefault="00000000" w:rsidRPr="00000000" w14:paraId="000000D1">
            <w:pPr>
              <w:rPr>
                <w:sz w:val="22"/>
                <w:szCs w:val="22"/>
              </w:rPr>
            </w:pPr>
            <w:r w:rsidDel="00000000" w:rsidR="00000000" w:rsidRPr="00000000">
              <w:rPr>
                <w:sz w:val="22"/>
                <w:szCs w:val="22"/>
                <w:rtl w:val="0"/>
              </w:rPr>
              <w:t xml:space="preserve">Week 11</w:t>
            </w:r>
          </w:p>
        </w:tc>
        <w:tc>
          <w:tcPr/>
          <w:p w:rsidR="00000000" w:rsidDel="00000000" w:rsidP="00000000" w:rsidRDefault="00000000" w:rsidRPr="00000000" w14:paraId="000000D2">
            <w:pPr>
              <w:rPr>
                <w:sz w:val="22"/>
                <w:szCs w:val="22"/>
              </w:rPr>
            </w:pPr>
            <w:r w:rsidDel="00000000" w:rsidR="00000000" w:rsidRPr="00000000">
              <w:rPr>
                <w:sz w:val="22"/>
                <w:szCs w:val="22"/>
                <w:rtl w:val="0"/>
              </w:rPr>
              <w:t xml:space="preserve">Kapellmeister Salieri</w:t>
            </w:r>
          </w:p>
          <w:p w:rsidR="00000000" w:rsidDel="00000000" w:rsidP="00000000" w:rsidRDefault="00000000" w:rsidRPr="00000000" w14:paraId="000000D3">
            <w:pPr>
              <w:rPr>
                <w:sz w:val="22"/>
                <w:szCs w:val="22"/>
              </w:rPr>
            </w:pPr>
            <w:r w:rsidDel="00000000" w:rsidR="00000000" w:rsidRPr="00000000">
              <w:rPr>
                <w:rtl w:val="0"/>
              </w:rPr>
            </w:r>
          </w:p>
        </w:tc>
        <w:tc>
          <w:tcPr/>
          <w:p w:rsidR="00000000" w:rsidDel="00000000" w:rsidP="00000000" w:rsidRDefault="00000000" w:rsidRPr="00000000" w14:paraId="000000D4">
            <w:pPr>
              <w:rPr>
                <w:sz w:val="22"/>
                <w:szCs w:val="22"/>
              </w:rPr>
            </w:pPr>
            <w:r w:rsidDel="00000000" w:rsidR="00000000" w:rsidRPr="00000000">
              <w:rPr>
                <w:sz w:val="22"/>
                <w:szCs w:val="22"/>
                <w:rtl w:val="0"/>
              </w:rPr>
              <w:t xml:space="preserve">“I killed Mozart!”</w:t>
            </w:r>
          </w:p>
        </w:tc>
        <w:tc>
          <w:tcPr/>
          <w:p w:rsidR="00000000" w:rsidDel="00000000" w:rsidP="00000000" w:rsidRDefault="00000000" w:rsidRPr="00000000" w14:paraId="000000D5">
            <w:pPr>
              <w:rPr>
                <w:sz w:val="22"/>
                <w:szCs w:val="22"/>
              </w:rPr>
            </w:pPr>
            <w:r w:rsidDel="00000000" w:rsidR="00000000" w:rsidRPr="00000000">
              <w:rPr>
                <w:sz w:val="22"/>
                <w:szCs w:val="22"/>
                <w:rtl w:val="0"/>
              </w:rPr>
              <w:t xml:space="preserve">Keefe, Simon P. “Beyond Fact and Fiction, Scholarly and Popular: Peter Shaffer and Miloš Forman’s ‘Amadeus’ at 25.” </w:t>
            </w:r>
            <w:r w:rsidDel="00000000" w:rsidR="00000000" w:rsidRPr="00000000">
              <w:rPr>
                <w:i w:val="1"/>
                <w:sz w:val="22"/>
                <w:szCs w:val="22"/>
                <w:rtl w:val="0"/>
              </w:rPr>
              <w:t xml:space="preserve">The Musical Times</w:t>
            </w:r>
            <w:r w:rsidDel="00000000" w:rsidR="00000000" w:rsidRPr="00000000">
              <w:rPr>
                <w:sz w:val="22"/>
                <w:szCs w:val="22"/>
                <w:rtl w:val="0"/>
              </w:rPr>
              <w:t xml:space="preserve"> 150, no. 1906 (2009): 45–53. </w:t>
            </w:r>
          </w:p>
        </w:tc>
        <w:tc>
          <w:tcPr/>
          <w:p w:rsidR="00000000" w:rsidDel="00000000" w:rsidP="00000000" w:rsidRDefault="00000000" w:rsidRPr="00000000" w14:paraId="000000D6">
            <w:pPr>
              <w:rPr>
                <w:sz w:val="22"/>
                <w:szCs w:val="22"/>
              </w:rPr>
            </w:pPr>
            <w:r w:rsidDel="00000000" w:rsidR="00000000" w:rsidRPr="00000000">
              <w:rPr>
                <w:sz w:val="22"/>
                <w:szCs w:val="22"/>
                <w:rtl w:val="0"/>
              </w:rPr>
              <w:t xml:space="preserve">Salieri – </w:t>
            </w:r>
            <w:r w:rsidDel="00000000" w:rsidR="00000000" w:rsidRPr="00000000">
              <w:rPr>
                <w:i w:val="1"/>
                <w:sz w:val="22"/>
                <w:szCs w:val="22"/>
                <w:rtl w:val="0"/>
              </w:rPr>
              <w:t xml:space="preserve">Armida</w:t>
            </w:r>
            <w:r w:rsidDel="00000000" w:rsidR="00000000" w:rsidRPr="00000000">
              <w:rPr>
                <w:sz w:val="22"/>
                <w:szCs w:val="22"/>
                <w:rtl w:val="0"/>
              </w:rPr>
              <w:t xml:space="preserve"> (1771) &amp; Requiem (1804)</w:t>
            </w:r>
          </w:p>
        </w:tc>
      </w:tr>
      <w:tr>
        <w:trPr>
          <w:cantSplit w:val="0"/>
          <w:tblHeader w:val="0"/>
        </w:trPr>
        <w:tc>
          <w:tcPr/>
          <w:p w:rsidR="00000000" w:rsidDel="00000000" w:rsidP="00000000" w:rsidRDefault="00000000" w:rsidRPr="00000000" w14:paraId="000000D7">
            <w:pPr>
              <w:rPr>
                <w:sz w:val="22"/>
                <w:szCs w:val="22"/>
              </w:rPr>
            </w:pPr>
            <w:r w:rsidDel="00000000" w:rsidR="00000000" w:rsidRPr="00000000">
              <w:rPr>
                <w:sz w:val="22"/>
                <w:szCs w:val="22"/>
                <w:rtl w:val="0"/>
              </w:rPr>
              <w:t xml:space="preserve">Week 12</w:t>
            </w:r>
          </w:p>
          <w:p w:rsidR="00000000" w:rsidDel="00000000" w:rsidP="00000000" w:rsidRDefault="00000000" w:rsidRPr="00000000" w14:paraId="000000D8">
            <w:pPr>
              <w:rPr>
                <w:sz w:val="22"/>
                <w:szCs w:val="22"/>
              </w:rPr>
            </w:pPr>
            <w:r w:rsidDel="00000000" w:rsidR="00000000" w:rsidRPr="00000000">
              <w:rPr>
                <w:i w:val="1"/>
                <w:sz w:val="22"/>
                <w:szCs w:val="22"/>
                <w:rtl w:val="0"/>
              </w:rPr>
              <w:t xml:space="preserve">Travel Journal #6 Due</w:t>
            </w:r>
            <w:r w:rsidDel="00000000" w:rsidR="00000000" w:rsidRPr="00000000">
              <w:rPr>
                <w:rtl w:val="0"/>
              </w:rPr>
            </w:r>
          </w:p>
        </w:tc>
        <w:tc>
          <w:tcPr/>
          <w:p w:rsidR="00000000" w:rsidDel="00000000" w:rsidP="00000000" w:rsidRDefault="00000000" w:rsidRPr="00000000" w14:paraId="000000D9">
            <w:pPr>
              <w:rPr>
                <w:sz w:val="22"/>
                <w:szCs w:val="22"/>
              </w:rPr>
            </w:pPr>
            <w:r w:rsidDel="00000000" w:rsidR="00000000" w:rsidRPr="00000000">
              <w:rPr>
                <w:sz w:val="22"/>
                <w:szCs w:val="22"/>
                <w:rtl w:val="0"/>
              </w:rPr>
              <w:t xml:space="preserve">Fashioning of an Image</w:t>
            </w:r>
          </w:p>
        </w:tc>
        <w:tc>
          <w:tcPr/>
          <w:p w:rsidR="00000000" w:rsidDel="00000000" w:rsidP="00000000" w:rsidRDefault="00000000" w:rsidRPr="00000000" w14:paraId="000000DA">
            <w:pPr>
              <w:rPr>
                <w:sz w:val="22"/>
                <w:szCs w:val="22"/>
              </w:rPr>
            </w:pPr>
            <w:r w:rsidDel="00000000" w:rsidR="00000000" w:rsidRPr="00000000">
              <w:rPr>
                <w:sz w:val="22"/>
                <w:szCs w:val="22"/>
                <w:rtl w:val="0"/>
              </w:rPr>
              <w:t xml:space="preserve">Central Cemetery &amp; St. Marx</w:t>
            </w:r>
          </w:p>
        </w:tc>
        <w:tc>
          <w:tcPr/>
          <w:p w:rsidR="00000000" w:rsidDel="00000000" w:rsidP="00000000" w:rsidRDefault="00000000" w:rsidRPr="00000000" w14:paraId="000000DB">
            <w:pPr>
              <w:rPr>
                <w:sz w:val="22"/>
                <w:szCs w:val="22"/>
              </w:rPr>
            </w:pPr>
            <w:r w:rsidDel="00000000" w:rsidR="00000000" w:rsidRPr="00000000">
              <w:rPr>
                <w:sz w:val="22"/>
                <w:szCs w:val="22"/>
                <w:rtl w:val="0"/>
              </w:rPr>
              <w:t xml:space="preserve">Phillips, Reuben. “Burying Brahms: Vienna’s </w:t>
            </w:r>
            <w:sdt>
              <w:sdtPr>
                <w:tag w:val="goog_rdk_4"/>
              </w:sdtPr>
              <w:sdtContent>
                <w:r w:rsidDel="00000000" w:rsidR="00000000" w:rsidRPr="00000000">
                  <w:rPr>
                    <w:rFonts w:ascii="Cardo" w:cs="Cardo" w:eastAsia="Cardo" w:hAnsi="Cardo"/>
                    <w:i w:val="1"/>
                    <w:sz w:val="22"/>
                    <w:szCs w:val="22"/>
                    <w:rtl w:val="0"/>
                  </w:rPr>
                  <w:t xml:space="preserve">Ehrengräber </w:t>
                </w:r>
              </w:sdtContent>
            </w:sdt>
            <w:r w:rsidDel="00000000" w:rsidR="00000000" w:rsidRPr="00000000">
              <w:rPr>
                <w:sz w:val="22"/>
                <w:szCs w:val="22"/>
                <w:rtl w:val="0"/>
              </w:rPr>
              <w:t xml:space="preserve">for Composers and the Fashioning of a City’s Self-Image.” Paper presented at the Annual Meeting of the American Musicological Society, 2016.</w:t>
            </w:r>
          </w:p>
        </w:tc>
        <w:tc>
          <w:tcPr/>
          <w:p w:rsidR="00000000" w:rsidDel="00000000" w:rsidP="00000000" w:rsidRDefault="00000000" w:rsidRPr="00000000" w14:paraId="000000DC">
            <w:pPr>
              <w:rPr>
                <w:sz w:val="22"/>
                <w:szCs w:val="22"/>
              </w:rPr>
            </w:pPr>
            <w:r w:rsidDel="00000000" w:rsidR="00000000" w:rsidRPr="00000000">
              <w:rPr>
                <w:sz w:val="22"/>
                <w:szCs w:val="22"/>
                <w:rtl w:val="0"/>
              </w:rPr>
              <w:t xml:space="preserve">Brahms - </w:t>
            </w:r>
            <w:r w:rsidDel="00000000" w:rsidR="00000000" w:rsidRPr="00000000">
              <w:rPr>
                <w:i w:val="1"/>
                <w:sz w:val="22"/>
                <w:szCs w:val="22"/>
                <w:rtl w:val="0"/>
              </w:rPr>
              <w:t xml:space="preserve">Liebeslieder</w:t>
            </w:r>
            <w:r w:rsidDel="00000000" w:rsidR="00000000" w:rsidRPr="00000000">
              <w:rPr>
                <w:sz w:val="22"/>
                <w:szCs w:val="22"/>
                <w:rtl w:val="0"/>
              </w:rPr>
              <w:t xml:space="preserve"> Waltzes (Op. 52 and 65)</w:t>
            </w:r>
          </w:p>
        </w:tc>
      </w:tr>
      <w:tr>
        <w:trPr>
          <w:cantSplit w:val="0"/>
          <w:tblHeader w:val="0"/>
        </w:trPr>
        <w:tc>
          <w:tcPr/>
          <w:p w:rsidR="00000000" w:rsidDel="00000000" w:rsidP="00000000" w:rsidRDefault="00000000" w:rsidRPr="00000000" w14:paraId="000000DD">
            <w:pPr>
              <w:rPr>
                <w:sz w:val="22"/>
                <w:szCs w:val="22"/>
              </w:rPr>
            </w:pPr>
            <w:r w:rsidDel="00000000" w:rsidR="00000000" w:rsidRPr="00000000">
              <w:rPr>
                <w:sz w:val="22"/>
                <w:szCs w:val="22"/>
                <w:rtl w:val="0"/>
              </w:rPr>
              <w:t xml:space="preserve">Week 13</w:t>
            </w:r>
          </w:p>
        </w:tc>
        <w:tc>
          <w:tcPr/>
          <w:p w:rsidR="00000000" w:rsidDel="00000000" w:rsidP="00000000" w:rsidRDefault="00000000" w:rsidRPr="00000000" w14:paraId="000000DE">
            <w:pPr>
              <w:rPr>
                <w:sz w:val="22"/>
                <w:szCs w:val="22"/>
              </w:rPr>
            </w:pPr>
            <w:r w:rsidDel="00000000" w:rsidR="00000000" w:rsidRPr="00000000">
              <w:rPr>
                <w:sz w:val="22"/>
                <w:szCs w:val="22"/>
                <w:rtl w:val="0"/>
              </w:rPr>
              <w:t xml:space="preserve">Fashioning of an Image, ctd.</w:t>
            </w:r>
          </w:p>
        </w:tc>
        <w:tc>
          <w:tcPr/>
          <w:p w:rsidR="00000000" w:rsidDel="00000000" w:rsidP="00000000" w:rsidRDefault="00000000" w:rsidRPr="00000000" w14:paraId="000000DF">
            <w:pPr>
              <w:rPr>
                <w:sz w:val="22"/>
                <w:szCs w:val="22"/>
              </w:rPr>
            </w:pPr>
            <w:r w:rsidDel="00000000" w:rsidR="00000000" w:rsidRPr="00000000">
              <w:rPr>
                <w:sz w:val="22"/>
                <w:szCs w:val="22"/>
                <w:rtl w:val="0"/>
              </w:rPr>
              <w:t xml:space="preserve">Ringstrasse, Franz Joseph’s Reforms</w:t>
            </w:r>
          </w:p>
        </w:tc>
        <w:tc>
          <w:tcPr/>
          <w:p w:rsidR="00000000" w:rsidDel="00000000" w:rsidP="00000000" w:rsidRDefault="00000000" w:rsidRPr="00000000" w14:paraId="000000E0">
            <w:pPr>
              <w:rPr>
                <w:sz w:val="22"/>
                <w:szCs w:val="22"/>
              </w:rPr>
            </w:pPr>
            <w:r w:rsidDel="00000000" w:rsidR="00000000" w:rsidRPr="00000000">
              <w:rPr>
                <w:sz w:val="22"/>
                <w:szCs w:val="22"/>
                <w:rtl w:val="0"/>
              </w:rPr>
              <w:t xml:space="preserve">Schorske, “Ringstrasse...”; Faber, "Everyday Life," Nierhaus—"An Urban Revolution"</w:t>
            </w:r>
          </w:p>
        </w:tc>
        <w:tc>
          <w:tcPr/>
          <w:p w:rsidR="00000000" w:rsidDel="00000000" w:rsidP="00000000" w:rsidRDefault="00000000" w:rsidRPr="00000000" w14:paraId="000000E1">
            <w:pPr>
              <w:rPr>
                <w:b w:val="1"/>
                <w:sz w:val="22"/>
                <w:szCs w:val="22"/>
              </w:rPr>
            </w:pPr>
            <w:r w:rsidDel="00000000" w:rsidR="00000000" w:rsidRPr="00000000">
              <w:rPr>
                <w:sz w:val="22"/>
                <w:szCs w:val="22"/>
                <w:rtl w:val="0"/>
              </w:rPr>
              <w:t xml:space="preserve">Strauss - </w:t>
            </w:r>
            <w:r w:rsidDel="00000000" w:rsidR="00000000" w:rsidRPr="00000000">
              <w:rPr>
                <w:i w:val="1"/>
                <w:sz w:val="22"/>
                <w:szCs w:val="22"/>
                <w:rtl w:val="0"/>
              </w:rPr>
              <w:t xml:space="preserve">An der schönen blauen Donau</w:t>
            </w:r>
            <w:r w:rsidDel="00000000" w:rsidR="00000000" w:rsidRPr="00000000">
              <w:rPr>
                <w:rtl w:val="0"/>
              </w:rPr>
            </w:r>
          </w:p>
        </w:tc>
      </w:tr>
      <w:tr>
        <w:trPr>
          <w:cantSplit w:val="0"/>
          <w:tblHeader w:val="0"/>
        </w:trPr>
        <w:tc>
          <w:tcPr/>
          <w:p w:rsidR="00000000" w:rsidDel="00000000" w:rsidP="00000000" w:rsidRDefault="00000000" w:rsidRPr="00000000" w14:paraId="000000E2">
            <w:pPr>
              <w:rPr>
                <w:sz w:val="22"/>
                <w:szCs w:val="22"/>
              </w:rPr>
            </w:pPr>
            <w:r w:rsidDel="00000000" w:rsidR="00000000" w:rsidRPr="00000000">
              <w:rPr>
                <w:sz w:val="22"/>
                <w:szCs w:val="22"/>
                <w:rtl w:val="0"/>
              </w:rPr>
              <w:t xml:space="preserve">Week 14</w:t>
            </w:r>
          </w:p>
          <w:p w:rsidR="00000000" w:rsidDel="00000000" w:rsidP="00000000" w:rsidRDefault="00000000" w:rsidRPr="00000000" w14:paraId="000000E3">
            <w:pPr>
              <w:rPr>
                <w:sz w:val="22"/>
                <w:szCs w:val="22"/>
              </w:rPr>
            </w:pPr>
            <w:r w:rsidDel="00000000" w:rsidR="00000000" w:rsidRPr="00000000">
              <w:rPr>
                <w:i w:val="1"/>
                <w:sz w:val="22"/>
                <w:szCs w:val="22"/>
                <w:rtl w:val="0"/>
              </w:rPr>
              <w:t xml:space="preserve">Travel Journal #7 Due</w:t>
            </w:r>
            <w:r w:rsidDel="00000000" w:rsidR="00000000" w:rsidRPr="00000000">
              <w:rPr>
                <w:rtl w:val="0"/>
              </w:rPr>
            </w:r>
          </w:p>
        </w:tc>
        <w:tc>
          <w:tcPr/>
          <w:p w:rsidR="00000000" w:rsidDel="00000000" w:rsidP="00000000" w:rsidRDefault="00000000" w:rsidRPr="00000000" w14:paraId="000000E4">
            <w:pPr>
              <w:rPr>
                <w:sz w:val="22"/>
                <w:szCs w:val="22"/>
              </w:rPr>
            </w:pPr>
            <w:r w:rsidDel="00000000" w:rsidR="00000000" w:rsidRPr="00000000">
              <w:rPr>
                <w:sz w:val="22"/>
                <w:szCs w:val="22"/>
                <w:rtl w:val="0"/>
              </w:rPr>
              <w:t xml:space="preserve">Schubert: The Persona</w:t>
            </w:r>
          </w:p>
        </w:tc>
        <w:tc>
          <w:tcPr/>
          <w:p w:rsidR="00000000" w:rsidDel="00000000" w:rsidP="00000000" w:rsidRDefault="00000000" w:rsidRPr="00000000" w14:paraId="000000E5">
            <w:pPr>
              <w:rPr>
                <w:sz w:val="22"/>
                <w:szCs w:val="22"/>
              </w:rPr>
            </w:pPr>
            <w:r w:rsidDel="00000000" w:rsidR="00000000" w:rsidRPr="00000000">
              <w:rPr>
                <w:sz w:val="22"/>
                <w:szCs w:val="22"/>
                <w:rtl w:val="0"/>
              </w:rPr>
              <w:t xml:space="preserve">The Sounds of the “Viennese Underground”</w:t>
            </w:r>
          </w:p>
        </w:tc>
        <w:tc>
          <w:tcPr/>
          <w:p w:rsidR="00000000" w:rsidDel="00000000" w:rsidP="00000000" w:rsidRDefault="00000000" w:rsidRPr="00000000" w14:paraId="000000E6">
            <w:pPr>
              <w:rPr>
                <w:sz w:val="22"/>
                <w:szCs w:val="22"/>
              </w:rPr>
            </w:pPr>
            <w:r w:rsidDel="00000000" w:rsidR="00000000" w:rsidRPr="00000000">
              <w:rPr>
                <w:sz w:val="22"/>
                <w:szCs w:val="22"/>
                <w:rtl w:val="0"/>
              </w:rPr>
              <w:t xml:space="preserve">Solomon, Maynard. “Franz Schubert and the Peacocks of Benvenuto Cellini.” </w:t>
            </w:r>
            <w:r w:rsidDel="00000000" w:rsidR="00000000" w:rsidRPr="00000000">
              <w:rPr>
                <w:i w:val="1"/>
                <w:sz w:val="22"/>
                <w:szCs w:val="22"/>
                <w:rtl w:val="0"/>
              </w:rPr>
              <w:t xml:space="preserve">19th-Century Music</w:t>
            </w:r>
            <w:r w:rsidDel="00000000" w:rsidR="00000000" w:rsidRPr="00000000">
              <w:rPr>
                <w:sz w:val="22"/>
                <w:szCs w:val="22"/>
                <w:rtl w:val="0"/>
              </w:rPr>
              <w:t xml:space="preserve"> 12, no. 3 (1989): 193–206. </w:t>
            </w:r>
          </w:p>
          <w:p w:rsidR="00000000" w:rsidDel="00000000" w:rsidP="00000000" w:rsidRDefault="00000000" w:rsidRPr="00000000" w14:paraId="000000E7">
            <w:pPr>
              <w:rPr>
                <w:sz w:val="22"/>
                <w:szCs w:val="22"/>
              </w:rPr>
            </w:pPr>
            <w:r w:rsidDel="00000000" w:rsidR="00000000" w:rsidRPr="00000000">
              <w:rPr>
                <w:sz w:val="22"/>
                <w:szCs w:val="22"/>
                <w:rtl w:val="0"/>
              </w:rPr>
              <w:t xml:space="preserve">Solomon, Maynard. “Schubert: Some Consequences of Nostalgia.” </w:t>
            </w:r>
            <w:r w:rsidDel="00000000" w:rsidR="00000000" w:rsidRPr="00000000">
              <w:rPr>
                <w:i w:val="1"/>
                <w:sz w:val="22"/>
                <w:szCs w:val="22"/>
                <w:rtl w:val="0"/>
              </w:rPr>
              <w:t xml:space="preserve">19th-Century Music</w:t>
            </w:r>
            <w:r w:rsidDel="00000000" w:rsidR="00000000" w:rsidRPr="00000000">
              <w:rPr>
                <w:sz w:val="22"/>
                <w:szCs w:val="22"/>
                <w:rtl w:val="0"/>
              </w:rPr>
              <w:t xml:space="preserve"> 17, no. 1 (1993): 34–46. </w:t>
            </w:r>
          </w:p>
        </w:tc>
        <w:tc>
          <w:tcPr/>
          <w:p w:rsidR="00000000" w:rsidDel="00000000" w:rsidP="00000000" w:rsidRDefault="00000000" w:rsidRPr="00000000" w14:paraId="000000E8">
            <w:pPr>
              <w:rPr>
                <w:i w:val="1"/>
                <w:sz w:val="22"/>
                <w:szCs w:val="22"/>
              </w:rPr>
            </w:pPr>
            <w:r w:rsidDel="00000000" w:rsidR="00000000" w:rsidRPr="00000000">
              <w:rPr>
                <w:i w:val="1"/>
                <w:sz w:val="22"/>
                <w:szCs w:val="22"/>
                <w:rtl w:val="0"/>
              </w:rPr>
              <w:t xml:space="preserve">Winterreise</w:t>
            </w:r>
          </w:p>
        </w:tc>
      </w:tr>
      <w:tr>
        <w:trPr>
          <w:cantSplit w:val="0"/>
          <w:tblHeader w:val="0"/>
        </w:trPr>
        <w:tc>
          <w:tcPr/>
          <w:p w:rsidR="00000000" w:rsidDel="00000000" w:rsidP="00000000" w:rsidRDefault="00000000" w:rsidRPr="00000000" w14:paraId="000000E9">
            <w:pPr>
              <w:rPr>
                <w:sz w:val="22"/>
                <w:szCs w:val="22"/>
              </w:rPr>
            </w:pPr>
            <w:r w:rsidDel="00000000" w:rsidR="00000000" w:rsidRPr="00000000">
              <w:rPr>
                <w:sz w:val="22"/>
                <w:szCs w:val="22"/>
                <w:rtl w:val="0"/>
              </w:rPr>
              <w:t xml:space="preserve">Week 15</w:t>
            </w:r>
          </w:p>
        </w:tc>
        <w:tc>
          <w:tcPr/>
          <w:p w:rsidR="00000000" w:rsidDel="00000000" w:rsidP="00000000" w:rsidRDefault="00000000" w:rsidRPr="00000000" w14:paraId="000000EA">
            <w:pPr>
              <w:rPr>
                <w:sz w:val="22"/>
                <w:szCs w:val="22"/>
              </w:rPr>
            </w:pPr>
            <w:r w:rsidDel="00000000" w:rsidR="00000000" w:rsidRPr="00000000">
              <w:rPr>
                <w:sz w:val="22"/>
                <w:szCs w:val="22"/>
                <w:rtl w:val="0"/>
              </w:rPr>
              <w:t xml:space="preserve">Musical Cultures Intertwined</w:t>
            </w:r>
          </w:p>
        </w:tc>
        <w:tc>
          <w:tcPr/>
          <w:p w:rsidR="00000000" w:rsidDel="00000000" w:rsidP="00000000" w:rsidRDefault="00000000" w:rsidRPr="00000000" w14:paraId="000000EB">
            <w:pPr>
              <w:rPr>
                <w:sz w:val="22"/>
                <w:szCs w:val="22"/>
              </w:rPr>
            </w:pPr>
            <w:r w:rsidDel="00000000" w:rsidR="00000000" w:rsidRPr="00000000">
              <w:rPr>
                <w:rtl w:val="0"/>
              </w:rPr>
            </w:r>
          </w:p>
        </w:tc>
        <w:tc>
          <w:tcPr/>
          <w:p w:rsidR="00000000" w:rsidDel="00000000" w:rsidP="00000000" w:rsidRDefault="00000000" w:rsidRPr="00000000" w14:paraId="000000EC">
            <w:pPr>
              <w:rPr>
                <w:sz w:val="22"/>
                <w:szCs w:val="22"/>
              </w:rPr>
            </w:pPr>
            <w:r w:rsidDel="00000000" w:rsidR="00000000" w:rsidRPr="00000000">
              <w:rPr>
                <w:sz w:val="22"/>
                <w:szCs w:val="22"/>
                <w:rtl w:val="0"/>
              </w:rPr>
              <w:t xml:space="preserve">Melton, James Van Horn. “School, Stage, Salon: Musical Cultures in Haydn’s Vienna.” </w:t>
            </w:r>
            <w:r w:rsidDel="00000000" w:rsidR="00000000" w:rsidRPr="00000000">
              <w:rPr>
                <w:i w:val="1"/>
                <w:sz w:val="22"/>
                <w:szCs w:val="22"/>
                <w:rtl w:val="0"/>
              </w:rPr>
              <w:t xml:space="preserve">The Journal of Modern History</w:t>
            </w:r>
            <w:r w:rsidDel="00000000" w:rsidR="00000000" w:rsidRPr="00000000">
              <w:rPr>
                <w:sz w:val="22"/>
                <w:szCs w:val="22"/>
                <w:rtl w:val="0"/>
              </w:rPr>
              <w:t xml:space="preserve"> 76, no. 2 (2004): 251–79.</w:t>
            </w:r>
          </w:p>
        </w:tc>
        <w:tc>
          <w:tcPr/>
          <w:p w:rsidR="00000000" w:rsidDel="00000000" w:rsidP="00000000" w:rsidRDefault="00000000" w:rsidRPr="00000000" w14:paraId="000000ED">
            <w:pPr>
              <w:rPr>
                <w:sz w:val="22"/>
                <w:szCs w:val="22"/>
              </w:rPr>
            </w:pPr>
            <w:r w:rsidDel="00000000" w:rsidR="00000000" w:rsidRPr="00000000">
              <w:rPr>
                <w:rtl w:val="0"/>
              </w:rPr>
            </w:r>
          </w:p>
        </w:tc>
      </w:tr>
    </w:tbl>
    <w:p w:rsidR="00000000" w:rsidDel="00000000" w:rsidP="00000000" w:rsidRDefault="00000000" w:rsidRPr="00000000" w14:paraId="000000EE">
      <w:pPr>
        <w:rPr>
          <w:b w:val="1"/>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rtl w:val="0"/>
        </w:rPr>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b w:val="1"/>
        </w:rPr>
      </w:pPr>
      <w:r w:rsidDel="00000000" w:rsidR="00000000" w:rsidRPr="00000000">
        <w:rPr>
          <w:rtl w:val="0"/>
        </w:rPr>
      </w:r>
    </w:p>
    <w:p w:rsidR="00000000" w:rsidDel="00000000" w:rsidP="00000000" w:rsidRDefault="00000000" w:rsidRPr="00000000" w14:paraId="000000F2">
      <w:pPr>
        <w:rPr>
          <w:b w:val="1"/>
        </w:rPr>
      </w:pPr>
      <w:r w:rsidDel="00000000" w:rsidR="00000000" w:rsidRPr="00000000">
        <w:rPr>
          <w:rtl w:val="0"/>
        </w:rPr>
      </w:r>
    </w:p>
    <w:p w:rsidR="00000000" w:rsidDel="00000000" w:rsidP="00000000" w:rsidRDefault="00000000" w:rsidRPr="00000000" w14:paraId="000000F3">
      <w:pPr>
        <w:rPr>
          <w:b w:val="1"/>
        </w:rPr>
      </w:pPr>
      <w:r w:rsidDel="00000000" w:rsidR="00000000" w:rsidRPr="00000000">
        <w:rPr>
          <w:b w:val="1"/>
          <w:rtl w:val="0"/>
        </w:rPr>
        <w:t xml:space="preserve">Bibliography</w:t>
      </w:r>
      <w:r w:rsidDel="00000000" w:rsidR="00000000" w:rsidRPr="00000000">
        <w:rPr>
          <w:b w:val="1"/>
          <w:rtl w:val="0"/>
        </w:rPr>
        <w:t xml:space="preserve"> </w:t>
      </w:r>
    </w:p>
    <w:p w:rsidR="00000000" w:rsidDel="00000000" w:rsidP="00000000" w:rsidRDefault="00000000" w:rsidRPr="00000000" w14:paraId="000000F4">
      <w:pPr>
        <w:ind w:left="720"/>
        <w:rPr/>
      </w:pPr>
      <w:r w:rsidDel="00000000" w:rsidR="00000000" w:rsidRPr="00000000">
        <w:rPr>
          <w:rtl w:val="0"/>
        </w:rPr>
        <w:t xml:space="preserve">Bauman, Thomas. “Coming of Age in Vienna: </w:t>
      </w:r>
      <w:sdt>
        <w:sdtPr>
          <w:tag w:val="goog_rdk_5"/>
        </w:sdtPr>
        <w:sdtContent>
          <w:r w:rsidDel="00000000" w:rsidR="00000000" w:rsidRPr="00000000">
            <w:rPr>
              <w:rFonts w:ascii="Cardo" w:cs="Cardo" w:eastAsia="Cardo" w:hAnsi="Cardo"/>
              <w:i w:val="1"/>
              <w:rtl w:val="0"/>
            </w:rPr>
            <w:t xml:space="preserve">Die Entführung aus dem Serail</w:t>
          </w:r>
        </w:sdtContent>
      </w:sdt>
      <w:r w:rsidDel="00000000" w:rsidR="00000000" w:rsidRPr="00000000">
        <w:rPr>
          <w:rtl w:val="0"/>
        </w:rPr>
        <w:t xml:space="preserve">.” In </w:t>
      </w:r>
      <w:r w:rsidDel="00000000" w:rsidR="00000000" w:rsidRPr="00000000">
        <w:rPr>
          <w:i w:val="1"/>
          <w:rtl w:val="0"/>
        </w:rPr>
        <w:t xml:space="preserve">Mozart’s Operas</w:t>
      </w:r>
      <w:r w:rsidDel="00000000" w:rsidR="00000000" w:rsidRPr="00000000">
        <w:rPr>
          <w:rtl w:val="0"/>
        </w:rPr>
        <w:t xml:space="preserve">, ed. Daniel Hertz, 65-87. Berkeley: University of California Press, 1990. </w:t>
      </w:r>
    </w:p>
    <w:p w:rsidR="00000000" w:rsidDel="00000000" w:rsidP="00000000" w:rsidRDefault="00000000" w:rsidRPr="00000000" w14:paraId="000000F5">
      <w:pPr>
        <w:ind w:left="720"/>
        <w:rPr/>
      </w:pPr>
      <w:r w:rsidDel="00000000" w:rsidR="00000000" w:rsidRPr="00000000">
        <w:rPr>
          <w:rtl w:val="0"/>
        </w:rPr>
        <w:t xml:space="preserve">Braunbehrens, Volkmar. “Mozart and Freemasonry.” In </w:t>
      </w:r>
      <w:r w:rsidDel="00000000" w:rsidR="00000000" w:rsidRPr="00000000">
        <w:rPr>
          <w:i w:val="1"/>
          <w:rtl w:val="0"/>
        </w:rPr>
        <w:t xml:space="preserve">Mozart in Vienna, 1781-1791</w:t>
      </w:r>
      <w:r w:rsidDel="00000000" w:rsidR="00000000" w:rsidRPr="00000000">
        <w:rPr>
          <w:rtl w:val="0"/>
        </w:rPr>
        <w:t xml:space="preserve">, trans. Timothy Bell, 226-266. New York: Harper Perennial, 1991. [Originally Munich: R. Piper, 1986.] </w:t>
      </w:r>
    </w:p>
    <w:p w:rsidR="00000000" w:rsidDel="00000000" w:rsidP="00000000" w:rsidRDefault="00000000" w:rsidRPr="00000000" w14:paraId="000000F6">
      <w:pPr>
        <w:ind w:left="720"/>
        <w:rPr>
          <w:b w:val="1"/>
        </w:rPr>
      </w:pPr>
      <w:r w:rsidDel="00000000" w:rsidR="00000000" w:rsidRPr="00000000">
        <w:rPr>
          <w:rtl w:val="0"/>
        </w:rPr>
        <w:t xml:space="preserve">Branscombe, Peter. “The intellectual background: Freemasonry.” In </w:t>
      </w:r>
      <w:r w:rsidDel="00000000" w:rsidR="00000000" w:rsidRPr="00000000">
        <w:rPr>
          <w:i w:val="1"/>
          <w:rtl w:val="0"/>
        </w:rPr>
        <w:t xml:space="preserve">W.A. Mozart: </w:t>
      </w:r>
      <w:sdt>
        <w:sdtPr>
          <w:tag w:val="goog_rdk_6"/>
        </w:sdtPr>
        <w:sdtContent>
          <w:r w:rsidDel="00000000" w:rsidR="00000000" w:rsidRPr="00000000">
            <w:rPr>
              <w:rFonts w:ascii="Cardo" w:cs="Cardo" w:eastAsia="Cardo" w:hAnsi="Cardo"/>
              <w:rtl w:val="0"/>
            </w:rPr>
            <w:t xml:space="preserve">Die Zauberflöte, 35-44. Cambridge: Cambridge University Press, 1991. </w:t>
          </w:r>
        </w:sdtContent>
      </w:sdt>
      <w:r w:rsidDel="00000000" w:rsidR="00000000" w:rsidRPr="00000000">
        <w:rPr>
          <w:rtl w:val="0"/>
        </w:rPr>
      </w:r>
    </w:p>
    <w:p w:rsidR="00000000" w:rsidDel="00000000" w:rsidP="00000000" w:rsidRDefault="00000000" w:rsidRPr="00000000" w14:paraId="000000F7">
      <w:pPr>
        <w:ind w:left="720" w:hanging="720"/>
        <w:rPr/>
      </w:pPr>
      <w:r w:rsidDel="00000000" w:rsidR="00000000" w:rsidRPr="00000000">
        <w:rPr>
          <w:rtl w:val="0"/>
        </w:rPr>
        <w:t xml:space="preserve">Erickson, Raymond. “Vienna in Its European Context.” In </w:t>
      </w:r>
      <w:r w:rsidDel="00000000" w:rsidR="00000000" w:rsidRPr="00000000">
        <w:rPr>
          <w:i w:val="1"/>
          <w:rtl w:val="0"/>
        </w:rPr>
        <w:t xml:space="preserve">Schubert’s Vienna</w:t>
      </w:r>
      <w:r w:rsidDel="00000000" w:rsidR="00000000" w:rsidRPr="00000000">
        <w:rPr>
          <w:rtl w:val="0"/>
        </w:rPr>
        <w:t xml:space="preserve">, ed. Raymond Erickson, 3-35. New Haven: Yale University Press, 1997. </w:t>
      </w:r>
    </w:p>
    <w:p w:rsidR="00000000" w:rsidDel="00000000" w:rsidP="00000000" w:rsidRDefault="00000000" w:rsidRPr="00000000" w14:paraId="000000F8">
      <w:pPr>
        <w:ind w:left="720"/>
        <w:rPr/>
      </w:pPr>
      <w:r w:rsidDel="00000000" w:rsidR="00000000" w:rsidRPr="00000000">
        <w:rPr>
          <w:rtl w:val="0"/>
        </w:rPr>
        <w:t xml:space="preserve">Faber, Monika. "Everyday Life on the Ringstrasse." In </w:t>
      </w:r>
      <w:r w:rsidDel="00000000" w:rsidR="00000000" w:rsidRPr="00000000">
        <w:rPr>
          <w:i w:val="1"/>
          <w:rtl w:val="0"/>
        </w:rPr>
        <w:t xml:space="preserve">Vienna's Ringstrasse: The Book</w:t>
      </w:r>
      <w:r w:rsidDel="00000000" w:rsidR="00000000" w:rsidRPr="00000000">
        <w:rPr>
          <w:rtl w:val="0"/>
        </w:rPr>
        <w:t xml:space="preserve">, ed. Alfred Fogarassy, 208-16. Vienna: Hatje Cantz, [n.d.]. </w:t>
      </w:r>
    </w:p>
    <w:p w:rsidR="00000000" w:rsidDel="00000000" w:rsidP="00000000" w:rsidRDefault="00000000" w:rsidRPr="00000000" w14:paraId="000000F9">
      <w:pPr>
        <w:ind w:left="720"/>
        <w:rPr/>
      </w:pPr>
      <w:r w:rsidDel="00000000" w:rsidR="00000000" w:rsidRPr="00000000">
        <w:rPr>
          <w:rtl w:val="0"/>
        </w:rPr>
        <w:t xml:space="preserve">Geiringer, Karl. “Joseph Haydn.” In </w:t>
      </w:r>
      <w:r w:rsidDel="00000000" w:rsidR="00000000" w:rsidRPr="00000000">
        <w:rPr>
          <w:i w:val="1"/>
          <w:rtl w:val="0"/>
        </w:rPr>
        <w:t xml:space="preserve">Joseph Haydn and the Eighteenth Century</w:t>
      </w:r>
      <w:r w:rsidDel="00000000" w:rsidR="00000000" w:rsidRPr="00000000">
        <w:rPr>
          <w:rtl w:val="0"/>
        </w:rPr>
        <w:t xml:space="preserve">, ed. Robert N. Freeman, 3- 9. Warren, Michigan: Harmonie Park Press, 2002. </w:t>
      </w:r>
    </w:p>
    <w:p w:rsidR="00000000" w:rsidDel="00000000" w:rsidP="00000000" w:rsidRDefault="00000000" w:rsidRPr="00000000" w14:paraId="000000FA">
      <w:pPr>
        <w:ind w:left="720" w:hanging="720"/>
        <w:rPr/>
      </w:pPr>
      <w:r w:rsidDel="00000000" w:rsidR="00000000" w:rsidRPr="00000000">
        <w:rPr>
          <w:rtl w:val="0"/>
        </w:rPr>
        <w:t xml:space="preserve">Hanson, Alice M. “Vienna, City of Music.” In </w:t>
      </w:r>
      <w:r w:rsidDel="00000000" w:rsidR="00000000" w:rsidRPr="00000000">
        <w:rPr>
          <w:i w:val="1"/>
          <w:rtl w:val="0"/>
        </w:rPr>
        <w:t xml:space="preserve">Schubert’s Vienna</w:t>
      </w:r>
      <w:r w:rsidDel="00000000" w:rsidR="00000000" w:rsidRPr="00000000">
        <w:rPr>
          <w:rtl w:val="0"/>
        </w:rPr>
        <w:t xml:space="preserve">, ed. Raymond Erickson, 98-118. New Haven: Yale University Press, 1997. </w:t>
      </w:r>
    </w:p>
    <w:p w:rsidR="00000000" w:rsidDel="00000000" w:rsidP="00000000" w:rsidRDefault="00000000" w:rsidRPr="00000000" w14:paraId="000000FB">
      <w:pPr>
        <w:ind w:left="720" w:hanging="720"/>
        <w:rPr/>
      </w:pPr>
      <w:r w:rsidDel="00000000" w:rsidR="00000000" w:rsidRPr="00000000">
        <w:rPr>
          <w:rtl w:val="0"/>
        </w:rPr>
        <w:t xml:space="preserve">Heindl, Waltraud. “People, Class Structure, and Society.” In </w:t>
      </w:r>
      <w:r w:rsidDel="00000000" w:rsidR="00000000" w:rsidRPr="00000000">
        <w:rPr>
          <w:i w:val="1"/>
          <w:rtl w:val="0"/>
        </w:rPr>
        <w:t xml:space="preserve">Schubert’s Vienna</w:t>
      </w:r>
      <w:r w:rsidDel="00000000" w:rsidR="00000000" w:rsidRPr="00000000">
        <w:rPr>
          <w:rtl w:val="0"/>
        </w:rPr>
        <w:t xml:space="preserve">, ed. Raymond Erickson, 36-54. New Haven: Yale University Press, 1997. </w:t>
      </w:r>
    </w:p>
    <w:p w:rsidR="00000000" w:rsidDel="00000000" w:rsidP="00000000" w:rsidRDefault="00000000" w:rsidRPr="00000000" w14:paraId="000000FC">
      <w:pPr>
        <w:ind w:left="720" w:hanging="720"/>
        <w:rPr/>
      </w:pPr>
      <w:r w:rsidDel="00000000" w:rsidR="00000000" w:rsidRPr="00000000">
        <w:rPr>
          <w:rtl w:val="0"/>
        </w:rPr>
        <w:t xml:space="preserve">Landon, H.C. Robbins. </w:t>
      </w:r>
      <w:r w:rsidDel="00000000" w:rsidR="00000000" w:rsidRPr="00000000">
        <w:rPr>
          <w:i w:val="1"/>
          <w:rtl w:val="0"/>
        </w:rPr>
        <w:t xml:space="preserve">Mozart and Vienna</w:t>
      </w:r>
      <w:r w:rsidDel="00000000" w:rsidR="00000000" w:rsidRPr="00000000">
        <w:rPr>
          <w:rtl w:val="0"/>
        </w:rPr>
        <w:t xml:space="preserve">. New York: Schirmer Books, 1991. Ch. 5—“Mozart and Vienna in the 1780s, Johann Pezzl, ‘Sketch of Vienna,’” and Ch. 6—“Mozart’s Stay in Vienna, 1781- 1791, and its Ramifications.” </w:t>
      </w:r>
    </w:p>
    <w:p w:rsidR="00000000" w:rsidDel="00000000" w:rsidP="00000000" w:rsidRDefault="00000000" w:rsidRPr="00000000" w14:paraId="000000FD">
      <w:pPr>
        <w:ind w:left="720"/>
        <w:rPr/>
      </w:pPr>
      <w:r w:rsidDel="00000000" w:rsidR="00000000" w:rsidRPr="00000000">
        <w:rPr>
          <w:rtl w:val="0"/>
        </w:rPr>
        <w:t xml:space="preserve">Nierhaus, Andreas. "An Urban Revolution: The Ringstrasse project and its organization." In </w:t>
      </w:r>
      <w:r w:rsidDel="00000000" w:rsidR="00000000" w:rsidRPr="00000000">
        <w:rPr>
          <w:i w:val="1"/>
          <w:rtl w:val="0"/>
        </w:rPr>
        <w:t xml:space="preserve">Vienna's Ringstrasse: The Book</w:t>
      </w:r>
      <w:r w:rsidDel="00000000" w:rsidR="00000000" w:rsidRPr="00000000">
        <w:rPr>
          <w:rtl w:val="0"/>
        </w:rPr>
        <w:t xml:space="preserve">, ed. Alfred Fogarassy, 18-39. Vienna: Hatje Cantz, [n.d.]. </w:t>
      </w:r>
    </w:p>
    <w:p w:rsidR="00000000" w:rsidDel="00000000" w:rsidP="00000000" w:rsidRDefault="00000000" w:rsidRPr="00000000" w14:paraId="000000FE">
      <w:pPr>
        <w:ind w:left="720"/>
        <w:rPr/>
      </w:pPr>
      <w:r w:rsidDel="00000000" w:rsidR="00000000" w:rsidRPr="00000000">
        <w:rPr>
          <w:rtl w:val="0"/>
        </w:rPr>
        <w:t xml:space="preserve">Phillips, Reuben. “Burying Brahms: Vienna’s </w:t>
      </w:r>
      <w:sdt>
        <w:sdtPr>
          <w:tag w:val="goog_rdk_7"/>
        </w:sdtPr>
        <w:sdtContent>
          <w:r w:rsidDel="00000000" w:rsidR="00000000" w:rsidRPr="00000000">
            <w:rPr>
              <w:rFonts w:ascii="Cardo" w:cs="Cardo" w:eastAsia="Cardo" w:hAnsi="Cardo"/>
              <w:i w:val="1"/>
              <w:rtl w:val="0"/>
            </w:rPr>
            <w:t xml:space="preserve">Ehrengräber </w:t>
          </w:r>
        </w:sdtContent>
      </w:sdt>
      <w:r w:rsidDel="00000000" w:rsidR="00000000" w:rsidRPr="00000000">
        <w:rPr>
          <w:rtl w:val="0"/>
        </w:rPr>
        <w:t xml:space="preserve">for Composers and the Fashioning of a City’s Self-Image.” Paper presented at the Annual Meeting of the American Musicological Society, 2016. </w:t>
      </w:r>
    </w:p>
    <w:p w:rsidR="00000000" w:rsidDel="00000000" w:rsidP="00000000" w:rsidRDefault="00000000" w:rsidRPr="00000000" w14:paraId="000000FF">
      <w:pPr>
        <w:ind w:left="720" w:hanging="720"/>
        <w:rPr/>
      </w:pPr>
      <w:r w:rsidDel="00000000" w:rsidR="00000000" w:rsidRPr="00000000">
        <w:rPr>
          <w:rtl w:val="0"/>
        </w:rPr>
        <w:t xml:space="preserve">Ringer, Alexander. “Mozart and the Josephian Era: Some Socio-Economic Notes on Musical Change.” </w:t>
      </w:r>
      <w:r w:rsidDel="00000000" w:rsidR="00000000" w:rsidRPr="00000000">
        <w:rPr>
          <w:i w:val="1"/>
          <w:rtl w:val="0"/>
        </w:rPr>
        <w:t xml:space="preserve">Current Musicology </w:t>
      </w:r>
      <w:r w:rsidDel="00000000" w:rsidR="00000000" w:rsidRPr="00000000">
        <w:rPr>
          <w:rtl w:val="0"/>
        </w:rPr>
        <w:t xml:space="preserve">9 (fall 1969): 158-165. </w:t>
      </w:r>
    </w:p>
    <w:p w:rsidR="00000000" w:rsidDel="00000000" w:rsidP="00000000" w:rsidRDefault="00000000" w:rsidRPr="00000000" w14:paraId="00000100">
      <w:pPr>
        <w:ind w:left="720"/>
        <w:rPr/>
      </w:pPr>
      <w:sdt>
        <w:sdtPr>
          <w:tag w:val="goog_rdk_8"/>
        </w:sdtPr>
        <w:sdtContent>
          <w:r w:rsidDel="00000000" w:rsidR="00000000" w:rsidRPr="00000000">
            <w:rPr>
              <w:rFonts w:ascii="Cardo" w:cs="Cardo" w:eastAsia="Cardo" w:hAnsi="Cardo"/>
              <w:rtl w:val="0"/>
            </w:rPr>
            <w:t xml:space="preserve">Robbins Landon, H.C. and David Wyn Jones. “The Fairy-tale Castle at Esterháza, 1766-1780.” In </w:t>
          </w:r>
        </w:sdtContent>
      </w:sdt>
      <w:r w:rsidDel="00000000" w:rsidR="00000000" w:rsidRPr="00000000">
        <w:rPr>
          <w:i w:val="1"/>
          <w:rtl w:val="0"/>
        </w:rPr>
        <w:t xml:space="preserve">Haydn: His Life and Music</w:t>
      </w:r>
      <w:r w:rsidDel="00000000" w:rsidR="00000000" w:rsidRPr="00000000">
        <w:rPr>
          <w:rtl w:val="0"/>
        </w:rPr>
        <w:t xml:space="preserve">, 95-119. Bloomington: Indiana University Press, 1988. </w:t>
      </w:r>
    </w:p>
    <w:p w:rsidR="00000000" w:rsidDel="00000000" w:rsidP="00000000" w:rsidRDefault="00000000" w:rsidRPr="00000000" w14:paraId="00000101">
      <w:pPr>
        <w:ind w:left="720"/>
        <w:rPr/>
      </w:pPr>
      <w:sdt>
        <w:sdtPr>
          <w:tag w:val="goog_rdk_9"/>
        </w:sdtPr>
        <w:sdtContent>
          <w:r w:rsidDel="00000000" w:rsidR="00000000" w:rsidRPr="00000000">
            <w:rPr>
              <w:rFonts w:ascii="Cardo" w:cs="Cardo" w:eastAsia="Cardo" w:hAnsi="Cardo"/>
              <w:rtl w:val="0"/>
            </w:rPr>
            <w:t xml:space="preserve">_______. “The Last Years at Eszterháza, 1781-1790.” In </w:t>
          </w:r>
        </w:sdtContent>
      </w:sdt>
      <w:r w:rsidDel="00000000" w:rsidR="00000000" w:rsidRPr="00000000">
        <w:rPr>
          <w:i w:val="1"/>
          <w:rtl w:val="0"/>
        </w:rPr>
        <w:t xml:space="preserve">Haydn: His Life and Music</w:t>
      </w:r>
      <w:r w:rsidDel="00000000" w:rsidR="00000000" w:rsidRPr="00000000">
        <w:rPr>
          <w:rtl w:val="0"/>
        </w:rPr>
        <w:t xml:space="preserve">, 174-182. Bloomington: Indiana University Press, 1988. </w:t>
      </w:r>
    </w:p>
    <w:p w:rsidR="00000000" w:rsidDel="00000000" w:rsidP="00000000" w:rsidRDefault="00000000" w:rsidRPr="00000000" w14:paraId="00000102">
      <w:pPr>
        <w:ind w:left="720"/>
        <w:rPr/>
      </w:pPr>
      <w:r w:rsidDel="00000000" w:rsidR="00000000" w:rsidRPr="00000000">
        <w:rPr>
          <w:rtl w:val="0"/>
        </w:rPr>
        <w:t xml:space="preserve">Schorske, Carl. “The Ringstrasse, Its Critics, and the Birth of Urban Modernism.” In </w:t>
      </w:r>
      <w:sdt>
        <w:sdtPr>
          <w:tag w:val="goog_rdk_10"/>
        </w:sdtPr>
        <w:sdtContent>
          <w:r w:rsidDel="00000000" w:rsidR="00000000" w:rsidRPr="00000000">
            <w:rPr>
              <w:rFonts w:ascii="Cardo" w:cs="Cardo" w:eastAsia="Cardo" w:hAnsi="Cardo"/>
              <w:i w:val="1"/>
              <w:rtl w:val="0"/>
            </w:rPr>
            <w:t xml:space="preserve">Fin-de-Siècle Vienna: Politics and Culture</w:t>
          </w:r>
        </w:sdtContent>
      </w:sdt>
      <w:r w:rsidDel="00000000" w:rsidR="00000000" w:rsidRPr="00000000">
        <w:rPr>
          <w:rtl w:val="0"/>
        </w:rPr>
        <w:t xml:space="preserve">, 24–46. New York: Random House, 1981. </w:t>
      </w:r>
    </w:p>
    <w:p w:rsidR="00000000" w:rsidDel="00000000" w:rsidP="00000000" w:rsidRDefault="00000000" w:rsidRPr="00000000" w14:paraId="00000103">
      <w:pPr>
        <w:ind w:left="720"/>
        <w:rPr/>
      </w:pPr>
      <w:r w:rsidDel="00000000" w:rsidR="00000000" w:rsidRPr="00000000">
        <w:rPr>
          <w:rtl w:val="0"/>
        </w:rPr>
        <w:t xml:space="preserve">Sisman, Elaine. “‘The Spirit of Mozart from Haydn’s Hands’: Beethoven’s Musical Inheritance.” In </w:t>
      </w:r>
      <w:r w:rsidDel="00000000" w:rsidR="00000000" w:rsidRPr="00000000">
        <w:rPr>
          <w:i w:val="1"/>
          <w:rtl w:val="0"/>
        </w:rPr>
        <w:t xml:space="preserve">Cambridge Companion to Beethoven</w:t>
      </w:r>
      <w:r w:rsidDel="00000000" w:rsidR="00000000" w:rsidRPr="00000000">
        <w:rPr>
          <w:rtl w:val="0"/>
        </w:rPr>
        <w:t xml:space="preserve">, ed. Glenn Stanley, 45-63. Cambridge: Cambridge University Press, 2000. </w:t>
      </w:r>
    </w:p>
    <w:p w:rsidR="00000000" w:rsidDel="00000000" w:rsidP="00000000" w:rsidRDefault="00000000" w:rsidRPr="00000000" w14:paraId="00000104">
      <w:pPr>
        <w:ind w:left="720" w:hanging="720"/>
        <w:rPr/>
      </w:pPr>
      <w:sdt>
        <w:sdtPr>
          <w:tag w:val="goog_rdk_11"/>
        </w:sdtPr>
        <w:sdtContent>
          <w:r w:rsidDel="00000000" w:rsidR="00000000" w:rsidRPr="00000000">
            <w:rPr>
              <w:rFonts w:ascii="Cardo" w:cs="Cardo" w:eastAsia="Cardo" w:hAnsi="Cardo"/>
              <w:rtl w:val="0"/>
            </w:rPr>
            <w:t xml:space="preserve">Weiss, Piero and Richard Taruskin, eds. “Haydn’s Duties in the Service of Prince Esterházy.” In </w:t>
          </w:r>
        </w:sdtContent>
      </w:sdt>
      <w:r w:rsidDel="00000000" w:rsidR="00000000" w:rsidRPr="00000000">
        <w:rPr>
          <w:i w:val="1"/>
          <w:rtl w:val="0"/>
        </w:rPr>
        <w:t xml:space="preserve">Music in the Western World: A History in Documents</w:t>
      </w:r>
      <w:r w:rsidDel="00000000" w:rsidR="00000000" w:rsidRPr="00000000">
        <w:rPr>
          <w:rtl w:val="0"/>
        </w:rPr>
        <w:t xml:space="preserve">, 298-300. New York: Schirmer, 1984. </w:t>
      </w:r>
    </w:p>
    <w:p w:rsidR="00000000" w:rsidDel="00000000" w:rsidP="00000000" w:rsidRDefault="00000000" w:rsidRPr="00000000" w14:paraId="00000105">
      <w:pPr>
        <w:ind w:left="720" w:hanging="720"/>
        <w:rPr/>
      </w:pPr>
      <w:r w:rsidDel="00000000" w:rsidR="00000000" w:rsidRPr="00000000">
        <w:rPr>
          <w:rtl w:val="0"/>
        </w:rPr>
        <w:t xml:space="preserve">Weiss, Piero and Richard Taruskin, eds. “Vienna, 1800.” In </w:t>
      </w:r>
      <w:r w:rsidDel="00000000" w:rsidR="00000000" w:rsidRPr="00000000">
        <w:rPr>
          <w:i w:val="1"/>
          <w:rtl w:val="0"/>
        </w:rPr>
        <w:t xml:space="preserve">Music in the Western World: A History in Documents</w:t>
      </w:r>
      <w:r w:rsidDel="00000000" w:rsidR="00000000" w:rsidRPr="00000000">
        <w:rPr>
          <w:rtl w:val="0"/>
        </w:rPr>
        <w:t xml:space="preserve">, 321-325. New York: Schirmer, 1984. </w:t>
      </w:r>
    </w:p>
    <w:p w:rsidR="00000000" w:rsidDel="00000000" w:rsidP="00000000" w:rsidRDefault="00000000" w:rsidRPr="00000000" w14:paraId="00000106">
      <w:pPr>
        <w:ind w:left="720" w:hanging="720"/>
        <w:rPr/>
      </w:pPr>
      <w:r w:rsidDel="00000000" w:rsidR="00000000" w:rsidRPr="00000000">
        <w:rPr>
          <w:rtl w:val="0"/>
        </w:rPr>
        <w:t xml:space="preserve">_______, eds. “Beethoven’s Heiligenstadt Testament.” In </w:t>
      </w:r>
      <w:r w:rsidDel="00000000" w:rsidR="00000000" w:rsidRPr="00000000">
        <w:rPr>
          <w:i w:val="1"/>
          <w:rtl w:val="0"/>
        </w:rPr>
        <w:t xml:space="preserve">Music in the Western World: A History in Documents</w:t>
      </w:r>
      <w:r w:rsidDel="00000000" w:rsidR="00000000" w:rsidRPr="00000000">
        <w:rPr>
          <w:rtl w:val="0"/>
        </w:rPr>
        <w:t xml:space="preserve">, 326-328. New York: Schirmer, 1984.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Play">
    <w:embedRegular w:fontKey="{00000000-0000-0000-0000-000000000000}" r:id="rId1" w:subsetted="0"/>
    <w:embedBold w:fontKey="{00000000-0000-0000-0000-000000000000}" r:id="rId2" w:subsetted="0"/>
  </w:font>
  <w:font w:name="Aptos"/>
  <w:font w:name="Cardo">
    <w:embedRegular w:fontKey="{00000000-0000-0000-0000-000000000000}" r:id="rId3" w:subsetted="0"/>
    <w:embedBold w:fontKey="{00000000-0000-0000-0000-000000000000}" r:id="rId4" w:subsetted="0"/>
    <w:embedItalic w:fontKey="{00000000-0000-0000-0000-000000000000}" r:id="rId5" w:subsetted="0"/>
  </w:font>
  <w:font w:name="EB Garamon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Noto Sans Symbols">
    <w:embedRegular w:fontKey="{00000000-0000-0000-0000-000000000000}" r:id="rId10" w:subsetted="0"/>
    <w:embedBold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Georgia" w:cs="Georgia" w:eastAsia="Georgia" w:hAnsi="Georg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rFonts w:ascii="Aptos" w:cs="Aptos" w:eastAsia="Aptos" w:hAnsi="Aptos"/>
      <w:color w:val="0f4761"/>
      <w:sz w:val="28"/>
      <w:szCs w:val="28"/>
    </w:rPr>
  </w:style>
  <w:style w:type="paragraph" w:styleId="Heading4">
    <w:name w:val="heading 4"/>
    <w:basedOn w:val="Normal"/>
    <w:next w:val="Normal"/>
    <w:pPr>
      <w:keepNext w:val="1"/>
      <w:keepLines w:val="1"/>
      <w:spacing w:after="40" w:before="80" w:lineRule="auto"/>
    </w:pPr>
    <w:rPr>
      <w:rFonts w:ascii="Aptos" w:cs="Aptos" w:eastAsia="Aptos" w:hAnsi="Aptos"/>
      <w:i w:val="1"/>
      <w:color w:val="0f4761"/>
    </w:rPr>
  </w:style>
  <w:style w:type="paragraph" w:styleId="Heading5">
    <w:name w:val="heading 5"/>
    <w:basedOn w:val="Normal"/>
    <w:next w:val="Normal"/>
    <w:pPr>
      <w:keepNext w:val="1"/>
      <w:keepLines w:val="1"/>
      <w:spacing w:after="40" w:before="80" w:lineRule="auto"/>
    </w:pPr>
    <w:rPr>
      <w:rFonts w:ascii="Aptos" w:cs="Aptos" w:eastAsia="Aptos" w:hAnsi="Aptos"/>
      <w:color w:val="0f4761"/>
    </w:rPr>
  </w:style>
  <w:style w:type="paragraph" w:styleId="Heading6">
    <w:name w:val="heading 6"/>
    <w:basedOn w:val="Normal"/>
    <w:next w:val="Normal"/>
    <w:pPr>
      <w:keepNext w:val="1"/>
      <w:keepLines w:val="1"/>
      <w:spacing w:before="40" w:lineRule="auto"/>
    </w:pPr>
    <w:rPr>
      <w:rFonts w:ascii="Aptos" w:cs="Aptos" w:eastAsia="Aptos" w:hAnsi="Aptos"/>
      <w:i w:val="1"/>
      <w:color w:val="595959"/>
    </w:rPr>
  </w:style>
  <w:style w:type="paragraph" w:styleId="Title">
    <w:name w:val="Title"/>
    <w:basedOn w:val="Normal"/>
    <w:next w:val="Normal"/>
    <w:pPr>
      <w:spacing w:after="80" w:lineRule="auto"/>
    </w:pPr>
    <w:rPr>
      <w:rFonts w:ascii="Play" w:cs="Play" w:eastAsia="Play" w:hAnsi="Play"/>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AC7543"/>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AC7543"/>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AC7543"/>
    <w:pPr>
      <w:keepNext w:val="1"/>
      <w:keepLines w:val="1"/>
      <w:spacing w:after="80" w:before="160"/>
      <w:outlineLvl w:val="2"/>
    </w:pPr>
    <w:rPr>
      <w:rFonts w:asciiTheme="minorHAnsi" w:cstheme="majorBidi" w:eastAsiaTheme="majorEastAsia" w:hAnsiTheme="minorHAnsi"/>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AC7543"/>
    <w:pPr>
      <w:keepNext w:val="1"/>
      <w:keepLines w:val="1"/>
      <w:spacing w:after="40" w:before="80"/>
      <w:outlineLvl w:val="3"/>
    </w:pPr>
    <w:rPr>
      <w:rFonts w:asciiTheme="minorHAnsi" w:cstheme="majorBidi" w:eastAsiaTheme="majorEastAsia" w:hAnsiTheme="minorHAnsi"/>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AC7543"/>
    <w:pPr>
      <w:keepNext w:val="1"/>
      <w:keepLines w:val="1"/>
      <w:spacing w:after="40" w:before="80"/>
      <w:outlineLvl w:val="4"/>
    </w:pPr>
    <w:rPr>
      <w:rFonts w:asciiTheme="minorHAnsi" w:cstheme="majorBidi" w:eastAsiaTheme="majorEastAsia" w:hAnsiTheme="minorHAnsi"/>
      <w:color w:val="0f4761" w:themeColor="accent1" w:themeShade="0000BF"/>
    </w:rPr>
  </w:style>
  <w:style w:type="paragraph" w:styleId="Heading6">
    <w:name w:val="heading 6"/>
    <w:basedOn w:val="Normal"/>
    <w:next w:val="Normal"/>
    <w:link w:val="Heading6Char"/>
    <w:uiPriority w:val="9"/>
    <w:semiHidden w:val="1"/>
    <w:unhideWhenUsed w:val="1"/>
    <w:qFormat w:val="1"/>
    <w:rsid w:val="00AC7543"/>
    <w:pPr>
      <w:keepNext w:val="1"/>
      <w:keepLines w:val="1"/>
      <w:spacing w:before="40"/>
      <w:outlineLvl w:val="5"/>
    </w:pPr>
    <w:rPr>
      <w:rFonts w:asciiTheme="minorHAnsi" w:cstheme="majorBidi" w:eastAsiaTheme="majorEastAsia" w:hAnsiTheme="minorHAnsi"/>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AC7543"/>
    <w:pPr>
      <w:keepNext w:val="1"/>
      <w:keepLines w:val="1"/>
      <w:spacing w:before="40"/>
      <w:outlineLvl w:val="6"/>
    </w:pPr>
    <w:rPr>
      <w:rFonts w:asciiTheme="minorHAnsi" w:cstheme="majorBidi" w:eastAsiaTheme="majorEastAsia" w:hAnsiTheme="minorHAnsi"/>
      <w:color w:val="595959" w:themeColor="text1" w:themeTint="0000A6"/>
    </w:rPr>
  </w:style>
  <w:style w:type="paragraph" w:styleId="Heading8">
    <w:name w:val="heading 8"/>
    <w:basedOn w:val="Normal"/>
    <w:next w:val="Normal"/>
    <w:link w:val="Heading8Char"/>
    <w:uiPriority w:val="9"/>
    <w:semiHidden w:val="1"/>
    <w:unhideWhenUsed w:val="1"/>
    <w:qFormat w:val="1"/>
    <w:rsid w:val="00AC7543"/>
    <w:pPr>
      <w:keepNext w:val="1"/>
      <w:keepLines w:val="1"/>
      <w:outlineLvl w:val="7"/>
    </w:pPr>
    <w:rPr>
      <w:rFonts w:asciiTheme="minorHAnsi" w:cstheme="majorBidi" w:eastAsiaTheme="majorEastAsia" w:hAnsiTheme="minorHAnsi"/>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AC7543"/>
    <w:pPr>
      <w:keepNext w:val="1"/>
      <w:keepLines w:val="1"/>
      <w:outlineLvl w:val="8"/>
    </w:pPr>
    <w:rPr>
      <w:rFonts w:asciiTheme="minorHAnsi" w:cstheme="majorBidi" w:eastAsiaTheme="majorEastAsia" w:hAnsiTheme="minorHAnsi"/>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noteText">
    <w:name w:val="footnote text"/>
    <w:basedOn w:val="Normal"/>
    <w:link w:val="FootnoteTextChar"/>
    <w:uiPriority w:val="99"/>
    <w:unhideWhenUsed w:val="1"/>
    <w:rsid w:val="00C04102"/>
    <w:rPr>
      <w:szCs w:val="20"/>
    </w:rPr>
  </w:style>
  <w:style w:type="character" w:styleId="FootnoteTextChar" w:customStyle="1">
    <w:name w:val="Footnote Text Char"/>
    <w:basedOn w:val="DefaultParagraphFont"/>
    <w:link w:val="FootnoteText"/>
    <w:uiPriority w:val="99"/>
    <w:rsid w:val="00C04102"/>
    <w:rPr>
      <w:szCs w:val="20"/>
    </w:rPr>
  </w:style>
  <w:style w:type="character" w:styleId="Heading1Char" w:customStyle="1">
    <w:name w:val="Heading 1 Char"/>
    <w:basedOn w:val="DefaultParagraphFont"/>
    <w:link w:val="Heading1"/>
    <w:uiPriority w:val="9"/>
    <w:rsid w:val="00AC7543"/>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AC7543"/>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AC7543"/>
    <w:rPr>
      <w:rFonts w:asciiTheme="minorHAnsi" w:cstheme="majorBidi" w:eastAsiaTheme="majorEastAsia" w:hAnsiTheme="minorHAnsi"/>
      <w:color w:val="0f4761" w:themeColor="accent1" w:themeShade="0000BF"/>
      <w:sz w:val="28"/>
      <w:szCs w:val="28"/>
    </w:rPr>
  </w:style>
  <w:style w:type="character" w:styleId="Heading4Char" w:customStyle="1">
    <w:name w:val="Heading 4 Char"/>
    <w:basedOn w:val="DefaultParagraphFont"/>
    <w:link w:val="Heading4"/>
    <w:uiPriority w:val="9"/>
    <w:semiHidden w:val="1"/>
    <w:rsid w:val="00AC7543"/>
    <w:rPr>
      <w:rFonts w:asciiTheme="minorHAnsi" w:cstheme="majorBidi" w:eastAsiaTheme="majorEastAsia" w:hAnsiTheme="minorHAnsi"/>
      <w:i w:val="1"/>
      <w:iCs w:val="1"/>
      <w:color w:val="0f4761" w:themeColor="accent1" w:themeShade="0000BF"/>
    </w:rPr>
  </w:style>
  <w:style w:type="character" w:styleId="Heading5Char" w:customStyle="1">
    <w:name w:val="Heading 5 Char"/>
    <w:basedOn w:val="DefaultParagraphFont"/>
    <w:link w:val="Heading5"/>
    <w:uiPriority w:val="9"/>
    <w:semiHidden w:val="1"/>
    <w:rsid w:val="00AC7543"/>
    <w:rPr>
      <w:rFonts w:asciiTheme="minorHAnsi" w:cstheme="majorBidi" w:eastAsiaTheme="majorEastAsia" w:hAnsiTheme="minorHAnsi"/>
      <w:color w:val="0f4761" w:themeColor="accent1" w:themeShade="0000BF"/>
    </w:rPr>
  </w:style>
  <w:style w:type="character" w:styleId="Heading6Char" w:customStyle="1">
    <w:name w:val="Heading 6 Char"/>
    <w:basedOn w:val="DefaultParagraphFont"/>
    <w:link w:val="Heading6"/>
    <w:uiPriority w:val="9"/>
    <w:semiHidden w:val="1"/>
    <w:rsid w:val="00AC7543"/>
    <w:rPr>
      <w:rFonts w:asciiTheme="minorHAnsi" w:cstheme="majorBidi" w:eastAsiaTheme="majorEastAsia" w:hAnsiTheme="minorHAnsi"/>
      <w:i w:val="1"/>
      <w:iCs w:val="1"/>
      <w:color w:val="595959" w:themeColor="text1" w:themeTint="0000A6"/>
    </w:rPr>
  </w:style>
  <w:style w:type="character" w:styleId="Heading7Char" w:customStyle="1">
    <w:name w:val="Heading 7 Char"/>
    <w:basedOn w:val="DefaultParagraphFont"/>
    <w:link w:val="Heading7"/>
    <w:uiPriority w:val="9"/>
    <w:semiHidden w:val="1"/>
    <w:rsid w:val="00AC7543"/>
    <w:rPr>
      <w:rFonts w:asciiTheme="minorHAnsi" w:cstheme="majorBidi" w:eastAsiaTheme="majorEastAsia" w:hAnsiTheme="minorHAnsi"/>
      <w:color w:val="595959" w:themeColor="text1" w:themeTint="0000A6"/>
    </w:rPr>
  </w:style>
  <w:style w:type="character" w:styleId="Heading8Char" w:customStyle="1">
    <w:name w:val="Heading 8 Char"/>
    <w:basedOn w:val="DefaultParagraphFont"/>
    <w:link w:val="Heading8"/>
    <w:uiPriority w:val="9"/>
    <w:semiHidden w:val="1"/>
    <w:rsid w:val="00AC7543"/>
    <w:rPr>
      <w:rFonts w:asciiTheme="minorHAnsi" w:cstheme="majorBidi" w:eastAsiaTheme="majorEastAsia" w:hAnsiTheme="minorHAnsi"/>
      <w:i w:val="1"/>
      <w:iCs w:val="1"/>
      <w:color w:val="272727" w:themeColor="text1" w:themeTint="0000D8"/>
    </w:rPr>
  </w:style>
  <w:style w:type="character" w:styleId="Heading9Char" w:customStyle="1">
    <w:name w:val="Heading 9 Char"/>
    <w:basedOn w:val="DefaultParagraphFont"/>
    <w:link w:val="Heading9"/>
    <w:uiPriority w:val="9"/>
    <w:semiHidden w:val="1"/>
    <w:rsid w:val="00AC7543"/>
    <w:rPr>
      <w:rFonts w:asciiTheme="minorHAnsi" w:cstheme="majorBidi" w:eastAsiaTheme="majorEastAsia" w:hAnsiTheme="minorHAnsi"/>
      <w:color w:val="272727" w:themeColor="text1" w:themeTint="0000D8"/>
    </w:rPr>
  </w:style>
  <w:style w:type="paragraph" w:styleId="Title">
    <w:name w:val="Title"/>
    <w:basedOn w:val="Normal"/>
    <w:next w:val="Normal"/>
    <w:link w:val="TitleChar"/>
    <w:uiPriority w:val="10"/>
    <w:qFormat w:val="1"/>
    <w:rsid w:val="00AC7543"/>
    <w:pPr>
      <w:spacing w:after="80"/>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AC7543"/>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AC7543"/>
    <w:pPr>
      <w:numPr>
        <w:ilvl w:val="1"/>
      </w:numPr>
      <w:spacing w:after="160"/>
    </w:pPr>
    <w:rPr>
      <w:rFonts w:asciiTheme="minorHAnsi" w:cstheme="majorBidi" w:eastAsiaTheme="majorEastAsia" w:hAnsiTheme="minorHAnsi"/>
      <w:color w:val="595959" w:themeColor="text1" w:themeTint="0000A6"/>
      <w:spacing w:val="15"/>
      <w:sz w:val="28"/>
      <w:szCs w:val="28"/>
    </w:rPr>
  </w:style>
  <w:style w:type="character" w:styleId="SubtitleChar" w:customStyle="1">
    <w:name w:val="Subtitle Char"/>
    <w:basedOn w:val="DefaultParagraphFont"/>
    <w:link w:val="Subtitle"/>
    <w:uiPriority w:val="11"/>
    <w:rsid w:val="00AC7543"/>
    <w:rPr>
      <w:rFonts w:asciiTheme="minorHAnsi" w:cstheme="majorBidi" w:eastAsiaTheme="majorEastAsia" w:hAnsiTheme="minorHAnsi"/>
      <w:color w:val="595959" w:themeColor="text1" w:themeTint="0000A6"/>
      <w:spacing w:val="15"/>
      <w:sz w:val="28"/>
      <w:szCs w:val="28"/>
    </w:rPr>
  </w:style>
  <w:style w:type="paragraph" w:styleId="Quote">
    <w:name w:val="Quote"/>
    <w:basedOn w:val="Normal"/>
    <w:next w:val="Normal"/>
    <w:link w:val="QuoteChar"/>
    <w:uiPriority w:val="29"/>
    <w:qFormat w:val="1"/>
    <w:rsid w:val="00AC7543"/>
    <w:pPr>
      <w:spacing w:after="160" w:before="160"/>
      <w:jc w:val="center"/>
    </w:pPr>
    <w:rPr>
      <w:i w:val="1"/>
      <w:iCs w:val="1"/>
      <w:color w:val="404040" w:themeColor="text1" w:themeTint="0000BF"/>
    </w:rPr>
  </w:style>
  <w:style w:type="character" w:styleId="QuoteChar" w:customStyle="1">
    <w:name w:val="Quote Char"/>
    <w:basedOn w:val="DefaultParagraphFont"/>
    <w:link w:val="Quote"/>
    <w:uiPriority w:val="29"/>
    <w:rsid w:val="00AC7543"/>
    <w:rPr>
      <w:i w:val="1"/>
      <w:iCs w:val="1"/>
      <w:color w:val="404040" w:themeColor="text1" w:themeTint="0000BF"/>
    </w:rPr>
  </w:style>
  <w:style w:type="paragraph" w:styleId="ListParagraph">
    <w:name w:val="List Paragraph"/>
    <w:basedOn w:val="Normal"/>
    <w:uiPriority w:val="34"/>
    <w:qFormat w:val="1"/>
    <w:rsid w:val="00AC7543"/>
    <w:pPr>
      <w:ind w:left="720"/>
      <w:contextualSpacing w:val="1"/>
    </w:pPr>
  </w:style>
  <w:style w:type="character" w:styleId="IntenseEmphasis">
    <w:name w:val="Intense Emphasis"/>
    <w:basedOn w:val="DefaultParagraphFont"/>
    <w:uiPriority w:val="21"/>
    <w:qFormat w:val="1"/>
    <w:rsid w:val="00AC7543"/>
    <w:rPr>
      <w:i w:val="1"/>
      <w:iCs w:val="1"/>
      <w:color w:val="0f4761" w:themeColor="accent1" w:themeShade="0000BF"/>
    </w:rPr>
  </w:style>
  <w:style w:type="paragraph" w:styleId="IntenseQuote">
    <w:name w:val="Intense Quote"/>
    <w:basedOn w:val="Normal"/>
    <w:next w:val="Normal"/>
    <w:link w:val="IntenseQuoteChar"/>
    <w:uiPriority w:val="30"/>
    <w:qFormat w:val="1"/>
    <w:rsid w:val="00AC7543"/>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AC7543"/>
    <w:rPr>
      <w:i w:val="1"/>
      <w:iCs w:val="1"/>
      <w:color w:val="0f4761" w:themeColor="accent1" w:themeShade="0000BF"/>
    </w:rPr>
  </w:style>
  <w:style w:type="character" w:styleId="IntenseReference">
    <w:name w:val="Intense Reference"/>
    <w:basedOn w:val="DefaultParagraphFont"/>
    <w:uiPriority w:val="32"/>
    <w:qFormat w:val="1"/>
    <w:rsid w:val="00AC7543"/>
    <w:rPr>
      <w:b w:val="1"/>
      <w:bCs w:val="1"/>
      <w:smallCaps w:val="1"/>
      <w:color w:val="0f4761" w:themeColor="accent1" w:themeShade="0000BF"/>
      <w:spacing w:val="5"/>
    </w:rPr>
  </w:style>
  <w:style w:type="character" w:styleId="Hyperlink">
    <w:name w:val="Hyperlink"/>
    <w:basedOn w:val="DefaultParagraphFont"/>
    <w:uiPriority w:val="99"/>
    <w:unhideWhenUsed w:val="1"/>
    <w:rsid w:val="00B97795"/>
    <w:rPr>
      <w:color w:val="467886" w:themeColor="hyperlink"/>
      <w:u w:val="single"/>
    </w:rPr>
  </w:style>
  <w:style w:type="character" w:styleId="UnresolvedMention">
    <w:name w:val="Unresolved Mention"/>
    <w:basedOn w:val="DefaultParagraphFont"/>
    <w:uiPriority w:val="99"/>
    <w:semiHidden w:val="1"/>
    <w:unhideWhenUsed w:val="1"/>
    <w:rsid w:val="00B97795"/>
    <w:rPr>
      <w:color w:val="605e5c"/>
      <w:shd w:color="auto" w:fill="e1dfdd" w:val="clear"/>
    </w:rPr>
  </w:style>
  <w:style w:type="table" w:styleId="TableGrid">
    <w:name w:val="Table Grid"/>
    <w:basedOn w:val="TableNormal"/>
    <w:uiPriority w:val="39"/>
    <w:rsid w:val="00034332"/>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spacing w:after="160" w:lineRule="auto"/>
    </w:pPr>
    <w:rPr>
      <w:rFonts w:ascii="Aptos" w:cs="Aptos" w:eastAsia="Aptos" w:hAnsi="Aptos"/>
      <w:color w:val="595959"/>
      <w:sz w:val="28"/>
      <w:szCs w:val="2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olice.ufl.edu" TargetMode="External"/><Relationship Id="rId11" Type="http://schemas.openxmlformats.org/officeDocument/2006/relationships/hyperlink" Target="https://helpdesk.ufl.edu" TargetMode="External"/><Relationship Id="rId22" Type="http://schemas.openxmlformats.org/officeDocument/2006/relationships/hyperlink" Target="https://writing.ufl.edu/writing-studio/" TargetMode="External"/><Relationship Id="rId10" Type="http://schemas.openxmlformats.org/officeDocument/2006/relationships/hyperlink" Target="https://umatter.ufl.edu" TargetMode="External"/><Relationship Id="rId21" Type="http://schemas.openxmlformats.org/officeDocument/2006/relationships/hyperlink" Target="https://police.ufl.edu" TargetMode="External"/><Relationship Id="rId13" Type="http://schemas.openxmlformats.org/officeDocument/2006/relationships/hyperlink" Target="https://counseling.ufl.edu" TargetMode="External"/><Relationship Id="rId12" Type="http://schemas.openxmlformats.org/officeDocument/2006/relationships/hyperlink" Target="https://helpdesk.ufl.edu" TargetMode="External"/><Relationship Id="rId23" Type="http://schemas.openxmlformats.org/officeDocument/2006/relationships/hyperlink" Target="https://writing.ufl.edu/writing-studi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matter.ufl.edu" TargetMode="External"/><Relationship Id="rId15" Type="http://schemas.openxmlformats.org/officeDocument/2006/relationships/hyperlink" Target="https://uflib.ufl.edu" TargetMode="External"/><Relationship Id="rId14" Type="http://schemas.openxmlformats.org/officeDocument/2006/relationships/hyperlink" Target="https://counseling.ufl.edu" TargetMode="External"/><Relationship Id="rId17" Type="http://schemas.openxmlformats.org/officeDocument/2006/relationships/hyperlink" Target="https://shcc.ufl.edu" TargetMode="External"/><Relationship Id="rId16" Type="http://schemas.openxmlformats.org/officeDocument/2006/relationships/hyperlink" Target="https://uflib.ufl.edu" TargetMode="External"/><Relationship Id="rId5" Type="http://schemas.openxmlformats.org/officeDocument/2006/relationships/styles" Target="styles.xml"/><Relationship Id="rId19" Type="http://schemas.openxmlformats.org/officeDocument/2006/relationships/hyperlink" Target="https://guides.uflib.ufl.edu/music" TargetMode="External"/><Relationship Id="rId6" Type="http://schemas.openxmlformats.org/officeDocument/2006/relationships/customXml" Target="../customXML/item1.xml"/><Relationship Id="rId18" Type="http://schemas.openxmlformats.org/officeDocument/2006/relationships/hyperlink" Target="https://shcc.ufl.edu" TargetMode="External"/><Relationship Id="rId7" Type="http://schemas.openxmlformats.org/officeDocument/2006/relationships/hyperlink" Target="mailto:johnpeterford@ufl.edu" TargetMode="External"/><Relationship Id="rId8" Type="http://schemas.openxmlformats.org/officeDocument/2006/relationships/hyperlink" Target="https://disability.ufl.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Cardo-regular.ttf"/><Relationship Id="rId4" Type="http://schemas.openxmlformats.org/officeDocument/2006/relationships/font" Target="fonts/Cardo-bold.ttf"/><Relationship Id="rId11" Type="http://schemas.openxmlformats.org/officeDocument/2006/relationships/font" Target="fonts/NotoSansSymbols-bold.ttf"/><Relationship Id="rId10" Type="http://schemas.openxmlformats.org/officeDocument/2006/relationships/font" Target="fonts/NotoSansSymbols-regular.ttf"/><Relationship Id="rId9" Type="http://schemas.openxmlformats.org/officeDocument/2006/relationships/font" Target="fonts/EBGaramond-boldItalic.ttf"/><Relationship Id="rId5" Type="http://schemas.openxmlformats.org/officeDocument/2006/relationships/font" Target="fonts/Cardo-italic.ttf"/><Relationship Id="rId6" Type="http://schemas.openxmlformats.org/officeDocument/2006/relationships/font" Target="fonts/EBGaramond-regular.ttf"/><Relationship Id="rId7" Type="http://schemas.openxmlformats.org/officeDocument/2006/relationships/font" Target="fonts/EBGaramond-bold.ttf"/><Relationship Id="rId8" Type="http://schemas.openxmlformats.org/officeDocument/2006/relationships/font" Target="fonts/EBGaramon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zVIE+AGWdwQob3fV0k9w4OBZmQ==">CgMxLjAaHwoBMBIaChgICVIUChJ0YWJsZS5hcm10OHYxMXo3eDcaEgoBMRINCgsIB0IHEgVDYXJkbxoSCgEyEg0KCwgHQgcSBUNhcmRvGhIKATMSDQoLCAdCBxIFQ2FyZG8aEgoBNBINCgsIB0IHEgVDYXJkbxoSCgE1Eg0KCwgHQgcSBUNhcmRvGhIKATYSDQoLCAdCBxIFQ2FyZG8aEgoBNxINCgsIB0IHEgVDYXJkbxoSCgE4Eg0KCwgHQgcSBUNhcmRvGhIKATkSDQoLCAdCBxIFQ2FyZG8aEwoCMTASDQoLCAdCBxIFQ2FyZG8aEwoCMTESDQoLCAdCBxIFQ2FyZG84AHIhMVNmM1lpR3AyTWFBRGRoaERkdjZMdjZDclhJRFZsS3V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2025-04-28T16:33:00Z</dcterms:created>
  <dc:creator>John-Peter Ford</dc:creator>
</cp:coreProperties>
</file>